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D6ED" w14:textId="1C9D62C4" w:rsidR="003D3DAA" w:rsidRDefault="00F24537">
      <w:pPr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3D3DAA" w:rsidRPr="003D3DAA">
        <w:rPr>
          <w:b/>
          <w:sz w:val="28"/>
          <w:szCs w:val="28"/>
        </w:rPr>
        <w:t>an</w:t>
      </w:r>
      <w:r>
        <w:rPr>
          <w:b/>
          <w:sz w:val="28"/>
          <w:szCs w:val="28"/>
        </w:rPr>
        <w:t xml:space="preserve"> og vil </w:t>
      </w:r>
      <w:proofErr w:type="spellStart"/>
      <w:r>
        <w:rPr>
          <w:b/>
          <w:sz w:val="28"/>
          <w:szCs w:val="28"/>
        </w:rPr>
        <w:t>Genmab</w:t>
      </w:r>
      <w:proofErr w:type="spellEnd"/>
      <w:r w:rsidR="008C6689">
        <w:rPr>
          <w:b/>
          <w:sz w:val="28"/>
          <w:szCs w:val="28"/>
        </w:rPr>
        <w:t xml:space="preserve"> opjustere ved Q</w:t>
      </w:r>
      <w:proofErr w:type="gramStart"/>
      <w:r w:rsidR="003D3DAA" w:rsidRPr="003D3DAA">
        <w:rPr>
          <w:b/>
          <w:sz w:val="28"/>
          <w:szCs w:val="28"/>
        </w:rPr>
        <w:t>3</w:t>
      </w:r>
      <w:r w:rsidR="008C6689">
        <w:rPr>
          <w:b/>
          <w:sz w:val="28"/>
          <w:szCs w:val="28"/>
        </w:rPr>
        <w:t xml:space="preserve"> </w:t>
      </w:r>
      <w:r w:rsidR="003D3DAA">
        <w:rPr>
          <w:b/>
          <w:sz w:val="28"/>
          <w:szCs w:val="28"/>
        </w:rPr>
        <w:t>?</w:t>
      </w:r>
      <w:proofErr w:type="gramEnd"/>
    </w:p>
    <w:p w14:paraId="297A98CB" w14:textId="77777777" w:rsidR="00153E62" w:rsidRDefault="00153E62">
      <w:pPr>
        <w:rPr>
          <w:b/>
          <w:sz w:val="28"/>
          <w:szCs w:val="28"/>
        </w:rPr>
      </w:pPr>
    </w:p>
    <w:p w14:paraId="76F23221" w14:textId="1CF14608" w:rsidR="00814500" w:rsidRDefault="008145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Salget. </w:t>
      </w:r>
    </w:p>
    <w:p w14:paraId="1FF37286" w14:textId="21D8940A" w:rsidR="005D4AA5" w:rsidRDefault="00BA1319">
      <w:r w:rsidRPr="00BA1319">
        <w:t xml:space="preserve">Salget af </w:t>
      </w:r>
      <w:proofErr w:type="spellStart"/>
      <w:r w:rsidRPr="00BA1319">
        <w:t>Darzalex</w:t>
      </w:r>
      <w:proofErr w:type="spellEnd"/>
      <w:r w:rsidRPr="00BA1319">
        <w:t xml:space="preserve"> følger </w:t>
      </w:r>
      <w:r>
        <w:t xml:space="preserve">flot </w:t>
      </w:r>
      <w:proofErr w:type="spellStart"/>
      <w:r>
        <w:t>Ge</w:t>
      </w:r>
      <w:r w:rsidR="009646A7">
        <w:t>nmab</w:t>
      </w:r>
      <w:proofErr w:type="spellEnd"/>
      <w:r w:rsidR="009646A7">
        <w:t xml:space="preserve"> egen guidens, </w:t>
      </w:r>
      <w:r w:rsidR="00877304">
        <w:t>om</w:t>
      </w:r>
      <w:r w:rsidR="009646A7">
        <w:t>end salget i US er bremset lidt op og formentlig vil være det indtil vi får den forventede godkendelse til 1 linje behandling, så kompenseres der for det via et accelererede salg i resten af verden</w:t>
      </w:r>
      <w:r w:rsidR="00877304">
        <w:t>. Specielt udrulningen af 1 linje i E</w:t>
      </w:r>
      <w:r w:rsidR="00B95A0B">
        <w:t>U skal blive spændende at følge, da dette give</w:t>
      </w:r>
      <w:r w:rsidR="00B72E01">
        <w:t>r</w:t>
      </w:r>
      <w:r w:rsidR="00B95A0B">
        <w:t xml:space="preserve"> adgang til mere end en fordobling af </w:t>
      </w:r>
      <w:r w:rsidR="005D4AA5">
        <w:t xml:space="preserve">patient grundlaget. Men vi skal nok først forvente at kunne se effekt af dette i Q4. </w:t>
      </w:r>
    </w:p>
    <w:p w14:paraId="2AC0C6A1" w14:textId="77777777" w:rsidR="005D4AA5" w:rsidRDefault="005D4AA5">
      <w:r>
        <w:t xml:space="preserve">Så for nuværende ser det ud til at omsætningen rammer i midten af </w:t>
      </w:r>
      <w:proofErr w:type="spellStart"/>
      <w:r>
        <w:t>Genmab</w:t>
      </w:r>
      <w:proofErr w:type="spellEnd"/>
      <w:r>
        <w:t xml:space="preserve"> interval 2.3 – 2.3 billion usd. Så jeg tror ikke vi får en opjustering her i Q3.</w:t>
      </w:r>
    </w:p>
    <w:p w14:paraId="0E67DBA5" w14:textId="77777777" w:rsidR="005D4AA5" w:rsidRDefault="005D4AA5"/>
    <w:p w14:paraId="6F185F18" w14:textId="45E1BBA1" w:rsidR="00814500" w:rsidRDefault="00FC2C82">
      <w:pPr>
        <w:rPr>
          <w:b/>
          <w:sz w:val="28"/>
          <w:szCs w:val="28"/>
        </w:rPr>
      </w:pPr>
      <w:r w:rsidRPr="00FC2C82">
        <w:rPr>
          <w:b/>
          <w:sz w:val="28"/>
          <w:szCs w:val="28"/>
        </w:rPr>
        <w:t xml:space="preserve">Omkostningerne. </w:t>
      </w:r>
    </w:p>
    <w:p w14:paraId="14BD6EEB" w14:textId="5F6B9B40" w:rsidR="00FC2C82" w:rsidRDefault="00FC2C82">
      <w:r>
        <w:t>En opjustering kan også komme hvis der er brugt færre penge en Budgetteret. Det så vi for eksempel i 2016</w:t>
      </w:r>
      <w:r w:rsidR="00B72E01">
        <w:t xml:space="preserve"> da et k</w:t>
      </w:r>
      <w:r>
        <w:t xml:space="preserve">liniske forsøg blev udskudt, hvilket medførte en opjustering. Det virker dog meget lidt sandsynligt her i 2018 hvor </w:t>
      </w:r>
      <w:r w:rsidR="00B72E01">
        <w:t>Genmab</w:t>
      </w:r>
      <w:r>
        <w:t xml:space="preserve"> har sat turbo på klinikken </w:t>
      </w:r>
      <w:r w:rsidR="00B4003A">
        <w:t xml:space="preserve">og ny </w:t>
      </w:r>
      <w:r>
        <w:t>ansættelser</w:t>
      </w:r>
      <w:r w:rsidR="00B72E01">
        <w:t xml:space="preserve"> folk hurtigere end haglbygerne kommer på kold efterårsdag. </w:t>
      </w:r>
    </w:p>
    <w:p w14:paraId="24E5E939" w14:textId="77777777" w:rsidR="00B72E01" w:rsidRDefault="00B72E01"/>
    <w:p w14:paraId="489A8F70" w14:textId="77777777" w:rsidR="005A684B" w:rsidRDefault="00FC2C82">
      <w:pPr>
        <w:rPr>
          <w:b/>
          <w:sz w:val="28"/>
          <w:szCs w:val="28"/>
        </w:rPr>
      </w:pPr>
      <w:r>
        <w:rPr>
          <w:b/>
          <w:sz w:val="28"/>
          <w:szCs w:val="28"/>
        </w:rPr>
        <w:t>Dollaren.</w:t>
      </w:r>
    </w:p>
    <w:p w14:paraId="2775BB9A" w14:textId="1AE51756" w:rsidR="009A4FFD" w:rsidRDefault="00A755A8" w:rsidP="009A4FFD">
      <w:r>
        <w:t xml:space="preserve">Genmab er et firma som er meget påvirket af </w:t>
      </w:r>
      <w:r w:rsidR="008746FF">
        <w:t>dollarkursen</w:t>
      </w:r>
      <w:r>
        <w:t>, da mere end 95 % af deres indtægter modtages i D</w:t>
      </w:r>
      <w:r w:rsidR="008746FF">
        <w:t>ollar.  Da Genmab fremlagde deres budget den 21.2-2018 var det med en note o</w:t>
      </w:r>
      <w:r w:rsidR="00FB39BC">
        <w:t>m en dollar forudsætning på 6,0 D</w:t>
      </w:r>
      <w:r w:rsidR="008746FF">
        <w:t>kr. Ved Q1 v</w:t>
      </w:r>
      <w:r w:rsidR="00FB39BC">
        <w:t>ar forudsætningen stadigvæk 6,0 D</w:t>
      </w:r>
      <w:r w:rsidR="008746FF">
        <w:t xml:space="preserve">kr. </w:t>
      </w:r>
    </w:p>
    <w:p w14:paraId="07BDCCA3" w14:textId="040D9220" w:rsidR="009A4FFD" w:rsidRDefault="009A4FFD" w:rsidP="009A4FFD">
      <w:r>
        <w:t xml:space="preserve">Ved halvårs regnskabet den 8.8-2018 skriver </w:t>
      </w:r>
      <w:proofErr w:type="gramStart"/>
      <w:r>
        <w:t>Genmab  (</w:t>
      </w:r>
      <w:proofErr w:type="gramEnd"/>
      <w:r w:rsidRPr="009A4FFD">
        <w:t>the 2018 guidance assumes</w:t>
      </w:r>
      <w:r>
        <w:t xml:space="preserve"> a USD/DKK </w:t>
      </w:r>
      <w:proofErr w:type="spellStart"/>
      <w:r>
        <w:t>exchange</w:t>
      </w:r>
      <w:bookmarkStart w:id="0" w:name="_GoBack"/>
      <w:bookmarkEnd w:id="0"/>
      <w:proofErr w:type="spellEnd"/>
      <w:r>
        <w:t xml:space="preserve"> rate of 6.0</w:t>
      </w:r>
      <w:r w:rsidR="00FB39BC">
        <w:t xml:space="preserve"> </w:t>
      </w:r>
      <w:proofErr w:type="spellStart"/>
      <w:r w:rsidR="00FB39BC">
        <w:t>Dkr</w:t>
      </w:r>
      <w:proofErr w:type="spellEnd"/>
      <w:r w:rsidR="00FB39BC">
        <w:t>.</w:t>
      </w:r>
      <w:r>
        <w:t>)</w:t>
      </w:r>
      <w:r w:rsidR="007F3CE7">
        <w:t xml:space="preserve"> </w:t>
      </w:r>
    </w:p>
    <w:p w14:paraId="4C51D06F" w14:textId="77777777" w:rsidR="002A2F0D" w:rsidRDefault="007F3CE7" w:rsidP="009A4FFD">
      <w:r>
        <w:t xml:space="preserve">Når </w:t>
      </w:r>
      <w:proofErr w:type="spellStart"/>
      <w:r>
        <w:t>Genmab</w:t>
      </w:r>
      <w:proofErr w:type="spellEnd"/>
      <w:r w:rsidR="002A2F0D">
        <w:t xml:space="preserve"> ”</w:t>
      </w:r>
      <w:r>
        <w:t xml:space="preserve"> anerkender</w:t>
      </w:r>
      <w:r w:rsidR="002A2F0D">
        <w:t>”</w:t>
      </w:r>
      <w:r>
        <w:t xml:space="preserve"> at forudsætningen </w:t>
      </w:r>
      <w:r w:rsidR="002A2F0D">
        <w:t xml:space="preserve">for deres budget er ændret, så skal de lave en opjustering. </w:t>
      </w:r>
    </w:p>
    <w:p w14:paraId="59E06334" w14:textId="77777777" w:rsidR="002A2F0D" w:rsidRDefault="002A2F0D" w:rsidP="009A4FFD"/>
    <w:p w14:paraId="18F4AA3B" w14:textId="77777777" w:rsidR="002A2F0D" w:rsidRDefault="002A2F0D" w:rsidP="009A4FFD">
      <w:r>
        <w:t xml:space="preserve">Jeg har i det følgende lavet beregninger af dollar påvirkningen på </w:t>
      </w:r>
      <w:proofErr w:type="spellStart"/>
      <w:r>
        <w:t>Genmab</w:t>
      </w:r>
      <w:proofErr w:type="spellEnd"/>
      <w:r>
        <w:t xml:space="preserve"> guidens. </w:t>
      </w:r>
    </w:p>
    <w:p w14:paraId="34149893" w14:textId="77777777" w:rsidR="002A2F0D" w:rsidRDefault="002A2F0D" w:rsidP="009A4FFD"/>
    <w:p w14:paraId="18CCCE28" w14:textId="258157E7" w:rsidR="007F3CE7" w:rsidRPr="00153E62" w:rsidRDefault="002A2F0D" w:rsidP="009A4FFD">
      <w:pPr>
        <w:rPr>
          <w:b/>
          <w:sz w:val="28"/>
          <w:szCs w:val="28"/>
          <w:lang w:val="en-US"/>
        </w:rPr>
      </w:pPr>
      <w:proofErr w:type="spellStart"/>
      <w:r w:rsidRPr="00153E62">
        <w:rPr>
          <w:b/>
          <w:sz w:val="28"/>
          <w:szCs w:val="28"/>
          <w:lang w:val="en-US"/>
        </w:rPr>
        <w:t>Genmab</w:t>
      </w:r>
      <w:proofErr w:type="spellEnd"/>
      <w:r w:rsidRPr="00153E62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53E62">
        <w:rPr>
          <w:b/>
          <w:sz w:val="28"/>
          <w:szCs w:val="28"/>
          <w:lang w:val="en-US"/>
        </w:rPr>
        <w:t>Guidens</w:t>
      </w:r>
      <w:proofErr w:type="spellEnd"/>
      <w:r w:rsidRPr="00153E62">
        <w:rPr>
          <w:b/>
          <w:sz w:val="28"/>
          <w:szCs w:val="28"/>
          <w:lang w:val="en-US"/>
        </w:rPr>
        <w:t xml:space="preserve"> </w:t>
      </w:r>
      <w:r w:rsidR="00995617" w:rsidRPr="00153E62">
        <w:rPr>
          <w:b/>
          <w:sz w:val="28"/>
          <w:szCs w:val="28"/>
          <w:lang w:val="en-US"/>
        </w:rPr>
        <w:t xml:space="preserve"> 2018</w:t>
      </w:r>
      <w:proofErr w:type="gramEnd"/>
      <w:r w:rsidRPr="00153E62">
        <w:rPr>
          <w:b/>
          <w:sz w:val="28"/>
          <w:szCs w:val="28"/>
          <w:lang w:val="en-US"/>
        </w:rPr>
        <w:t>.</w:t>
      </w:r>
    </w:p>
    <w:p w14:paraId="5786292E" w14:textId="77777777" w:rsidR="002A2F0D" w:rsidRPr="00153E62" w:rsidRDefault="002A2F0D" w:rsidP="009A4FFD">
      <w:pPr>
        <w:rPr>
          <w:b/>
          <w:sz w:val="28"/>
          <w:szCs w:val="28"/>
          <w:lang w:val="en-US"/>
        </w:rPr>
      </w:pPr>
    </w:p>
    <w:p w14:paraId="3F365AB1" w14:textId="5B251744" w:rsidR="002A2F0D" w:rsidRPr="00153E62" w:rsidRDefault="00995617" w:rsidP="009A4FFD">
      <w:pPr>
        <w:rPr>
          <w:lang w:val="en-US"/>
        </w:rPr>
      </w:pPr>
      <w:r w:rsidRPr="00153E62">
        <w:rPr>
          <w:lang w:val="en-US"/>
        </w:rPr>
        <w:t xml:space="preserve">Revenue </w:t>
      </w:r>
      <w:r w:rsidRPr="00153E62">
        <w:rPr>
          <w:lang w:val="en-US"/>
        </w:rPr>
        <w:tab/>
      </w:r>
      <w:r w:rsidRPr="00153E62">
        <w:rPr>
          <w:lang w:val="en-US"/>
        </w:rPr>
        <w:tab/>
      </w:r>
      <w:r w:rsidR="00153E62" w:rsidRPr="00153E62">
        <w:rPr>
          <w:lang w:val="en-US"/>
        </w:rPr>
        <w:tab/>
      </w:r>
      <w:r w:rsidR="00153E62" w:rsidRPr="00153E62">
        <w:rPr>
          <w:lang w:val="en-US"/>
        </w:rPr>
        <w:tab/>
      </w:r>
      <w:r w:rsidRPr="00153E62">
        <w:rPr>
          <w:lang w:val="en-US"/>
        </w:rPr>
        <w:t xml:space="preserve">2,700 – 3,100 </w:t>
      </w:r>
    </w:p>
    <w:p w14:paraId="0504D610" w14:textId="034C8442" w:rsidR="00153E62" w:rsidRPr="00153E62" w:rsidRDefault="00153E62" w:rsidP="00153E62">
      <w:pPr>
        <w:rPr>
          <w:lang w:val="en-US"/>
        </w:rPr>
      </w:pPr>
      <w:r w:rsidRPr="00153E62">
        <w:rPr>
          <w:lang w:val="en-US"/>
        </w:rPr>
        <w:t xml:space="preserve">Operating expenses </w:t>
      </w:r>
      <w:r w:rsidRPr="00153E62">
        <w:rPr>
          <w:lang w:val="en-US"/>
        </w:rPr>
        <w:tab/>
      </w:r>
      <w:r w:rsidRPr="00153E62">
        <w:rPr>
          <w:lang w:val="en-US"/>
        </w:rPr>
        <w:tab/>
        <w:t xml:space="preserve">                </w:t>
      </w:r>
      <w:r>
        <w:rPr>
          <w:lang w:val="en-US"/>
        </w:rPr>
        <w:t xml:space="preserve">   </w:t>
      </w:r>
      <w:proofErr w:type="gramStart"/>
      <w:r>
        <w:rPr>
          <w:lang w:val="en-US"/>
        </w:rPr>
        <w:t xml:space="preserve"> </w:t>
      </w:r>
      <w:r w:rsidRPr="00153E62">
        <w:rPr>
          <w:lang w:val="en-US"/>
        </w:rPr>
        <w:t xml:space="preserve">  (</w:t>
      </w:r>
      <w:proofErr w:type="gramEnd"/>
      <w:r w:rsidRPr="00153E62">
        <w:rPr>
          <w:lang w:val="en-US"/>
        </w:rPr>
        <w:t xml:space="preserve"> 1,400 – 1,600)</w:t>
      </w:r>
    </w:p>
    <w:p w14:paraId="6DE3E94D" w14:textId="4C3AB55D" w:rsidR="003328B1" w:rsidRPr="00153E62" w:rsidRDefault="00153E62">
      <w:r w:rsidRPr="00153E62">
        <w:t xml:space="preserve">Operating </w:t>
      </w:r>
      <w:proofErr w:type="spellStart"/>
      <w:r w:rsidRPr="00153E62">
        <w:t>income</w:t>
      </w:r>
      <w:proofErr w:type="spellEnd"/>
      <w:r w:rsidRPr="00153E62">
        <w:t xml:space="preserve"> </w:t>
      </w:r>
      <w:r w:rsidRPr="00153E62">
        <w:tab/>
      </w:r>
      <w:r w:rsidRPr="00153E62">
        <w:tab/>
      </w:r>
      <w:r w:rsidRPr="00153E62">
        <w:tab/>
        <w:t>1,300 – 1,500</w:t>
      </w:r>
    </w:p>
    <w:p w14:paraId="5B7A1673" w14:textId="7B948FCE" w:rsidR="003328B1" w:rsidRDefault="003328B1"/>
    <w:p w14:paraId="75BC0DC5" w14:textId="77777777" w:rsidR="000A17FD" w:rsidRDefault="000A17F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3"/>
        <w:gridCol w:w="1600"/>
        <w:gridCol w:w="1599"/>
        <w:gridCol w:w="1599"/>
        <w:gridCol w:w="1601"/>
        <w:gridCol w:w="1600"/>
      </w:tblGrid>
      <w:tr w:rsidR="00111E6B" w14:paraId="70F5C373" w14:textId="77777777" w:rsidTr="00111E6B">
        <w:tc>
          <w:tcPr>
            <w:tcW w:w="1604" w:type="dxa"/>
          </w:tcPr>
          <w:p w14:paraId="41D0D1A7" w14:textId="77777777" w:rsidR="00111E6B" w:rsidRDefault="00111E6B"/>
        </w:tc>
        <w:tc>
          <w:tcPr>
            <w:tcW w:w="1604" w:type="dxa"/>
          </w:tcPr>
          <w:p w14:paraId="6321CF44" w14:textId="49F74351" w:rsidR="00111E6B" w:rsidRDefault="00111E6B">
            <w:r>
              <w:t>Q 1</w:t>
            </w:r>
          </w:p>
        </w:tc>
        <w:tc>
          <w:tcPr>
            <w:tcW w:w="1603" w:type="dxa"/>
          </w:tcPr>
          <w:p w14:paraId="0307C7E4" w14:textId="2DDE4595" w:rsidR="00111E6B" w:rsidRDefault="00111E6B">
            <w:r>
              <w:t>Q 2</w:t>
            </w:r>
          </w:p>
        </w:tc>
        <w:tc>
          <w:tcPr>
            <w:tcW w:w="1603" w:type="dxa"/>
          </w:tcPr>
          <w:p w14:paraId="5C8C2F99" w14:textId="43201FB9" w:rsidR="00111E6B" w:rsidRDefault="00111E6B">
            <w:r>
              <w:t>Q 3</w:t>
            </w:r>
          </w:p>
        </w:tc>
        <w:tc>
          <w:tcPr>
            <w:tcW w:w="1604" w:type="dxa"/>
          </w:tcPr>
          <w:p w14:paraId="090ADC27" w14:textId="426DD7B2" w:rsidR="00111E6B" w:rsidRDefault="00111E6B">
            <w:r>
              <w:t>Q 4</w:t>
            </w:r>
          </w:p>
        </w:tc>
        <w:tc>
          <w:tcPr>
            <w:tcW w:w="1604" w:type="dxa"/>
          </w:tcPr>
          <w:p w14:paraId="00AC66F0" w14:textId="0AF89931" w:rsidR="00111E6B" w:rsidRDefault="00111E6B">
            <w:r>
              <w:t xml:space="preserve">Full Year </w:t>
            </w:r>
          </w:p>
        </w:tc>
      </w:tr>
      <w:tr w:rsidR="00111E6B" w14:paraId="7A9BD5E9" w14:textId="77777777" w:rsidTr="00111E6B">
        <w:tc>
          <w:tcPr>
            <w:tcW w:w="1604" w:type="dxa"/>
          </w:tcPr>
          <w:p w14:paraId="504610B5" w14:textId="47F066F7" w:rsidR="00111E6B" w:rsidRDefault="00490E10">
            <w:proofErr w:type="spellStart"/>
            <w:r>
              <w:t>Revenue</w:t>
            </w:r>
            <w:proofErr w:type="spellEnd"/>
          </w:p>
          <w:p w14:paraId="1F5810CF" w14:textId="7E1991E3" w:rsidR="00012ED1" w:rsidRDefault="00012ED1"/>
        </w:tc>
        <w:tc>
          <w:tcPr>
            <w:tcW w:w="1604" w:type="dxa"/>
          </w:tcPr>
          <w:p w14:paraId="1AF8E80F" w14:textId="1E652A46" w:rsidR="00111E6B" w:rsidRDefault="00012ED1">
            <w:r>
              <w:t>670</w:t>
            </w:r>
          </w:p>
        </w:tc>
        <w:tc>
          <w:tcPr>
            <w:tcW w:w="1603" w:type="dxa"/>
          </w:tcPr>
          <w:p w14:paraId="1089A826" w14:textId="55BEC7A6" w:rsidR="00111E6B" w:rsidRDefault="00490E10">
            <w:r>
              <w:t>490</w:t>
            </w:r>
          </w:p>
        </w:tc>
        <w:tc>
          <w:tcPr>
            <w:tcW w:w="1603" w:type="dxa"/>
          </w:tcPr>
          <w:p w14:paraId="0C047035" w14:textId="3CD9E2B0" w:rsidR="00111E6B" w:rsidRDefault="00F20A79">
            <w:r>
              <w:t>500</w:t>
            </w:r>
            <w:r w:rsidR="00BB53BC">
              <w:t xml:space="preserve"> **</w:t>
            </w:r>
          </w:p>
        </w:tc>
        <w:tc>
          <w:tcPr>
            <w:tcW w:w="1604" w:type="dxa"/>
          </w:tcPr>
          <w:p w14:paraId="21514FC9" w14:textId="7FE7CB58" w:rsidR="00111E6B" w:rsidRDefault="00AB1341">
            <w:r>
              <w:t>1191</w:t>
            </w:r>
            <w:r w:rsidR="000722FE">
              <w:t>**</w:t>
            </w:r>
          </w:p>
        </w:tc>
        <w:tc>
          <w:tcPr>
            <w:tcW w:w="1604" w:type="dxa"/>
          </w:tcPr>
          <w:p w14:paraId="476EA424" w14:textId="48D6FDA8" w:rsidR="00111E6B" w:rsidRDefault="00BB53BC">
            <w:r>
              <w:t>2850</w:t>
            </w:r>
          </w:p>
        </w:tc>
      </w:tr>
      <w:tr w:rsidR="00111E6B" w14:paraId="6100461C" w14:textId="77777777" w:rsidTr="000722FE">
        <w:trPr>
          <w:trHeight w:val="623"/>
        </w:trPr>
        <w:tc>
          <w:tcPr>
            <w:tcW w:w="1604" w:type="dxa"/>
          </w:tcPr>
          <w:p w14:paraId="476A4DDF" w14:textId="1B4849BC" w:rsidR="00111E6B" w:rsidRDefault="00F24537">
            <w:r>
              <w:t>Dollar</w:t>
            </w:r>
            <w:r w:rsidR="00111E6B">
              <w:t xml:space="preserve"> Stigning i </w:t>
            </w:r>
            <w:proofErr w:type="spellStart"/>
            <w:r>
              <w:t>D</w:t>
            </w:r>
            <w:r w:rsidR="00012ED1">
              <w:t>kr</w:t>
            </w:r>
            <w:proofErr w:type="spellEnd"/>
            <w:r>
              <w:t>.</w:t>
            </w:r>
          </w:p>
        </w:tc>
        <w:tc>
          <w:tcPr>
            <w:tcW w:w="1604" w:type="dxa"/>
          </w:tcPr>
          <w:p w14:paraId="30B64278" w14:textId="1A2F29D9" w:rsidR="00111E6B" w:rsidRDefault="00012ED1">
            <w:r>
              <w:t>11</w:t>
            </w:r>
          </w:p>
        </w:tc>
        <w:tc>
          <w:tcPr>
            <w:tcW w:w="1603" w:type="dxa"/>
          </w:tcPr>
          <w:p w14:paraId="543A3229" w14:textId="50564476" w:rsidR="00111E6B" w:rsidRDefault="00BB53BC">
            <w:r>
              <w:t>2</w:t>
            </w:r>
            <w:r w:rsidR="00490E10">
              <w:t>0</w:t>
            </w:r>
          </w:p>
        </w:tc>
        <w:tc>
          <w:tcPr>
            <w:tcW w:w="1603" w:type="dxa"/>
          </w:tcPr>
          <w:p w14:paraId="57A33A0A" w14:textId="390F0BF9" w:rsidR="00111E6B" w:rsidRDefault="00A61A4C">
            <w:r>
              <w:t>3</w:t>
            </w:r>
            <w:r w:rsidR="00490E10">
              <w:t>2</w:t>
            </w:r>
          </w:p>
        </w:tc>
        <w:tc>
          <w:tcPr>
            <w:tcW w:w="1604" w:type="dxa"/>
          </w:tcPr>
          <w:p w14:paraId="2BF68819" w14:textId="5AC67E52" w:rsidR="00111E6B" w:rsidRDefault="00490E10">
            <w:r>
              <w:t>78</w:t>
            </w:r>
          </w:p>
        </w:tc>
        <w:tc>
          <w:tcPr>
            <w:tcW w:w="1604" w:type="dxa"/>
          </w:tcPr>
          <w:p w14:paraId="2BCFE13A" w14:textId="006EC1A4" w:rsidR="00111E6B" w:rsidRDefault="000722FE">
            <w:r>
              <w:t>14</w:t>
            </w:r>
            <w:r w:rsidR="00490E10">
              <w:t>1</w:t>
            </w:r>
          </w:p>
        </w:tc>
      </w:tr>
      <w:tr w:rsidR="00111E6B" w14:paraId="5D625A4B" w14:textId="77777777" w:rsidTr="00111E6B">
        <w:tc>
          <w:tcPr>
            <w:tcW w:w="1604" w:type="dxa"/>
          </w:tcPr>
          <w:p w14:paraId="2AFBD535" w14:textId="4CAC7B9E" w:rsidR="00111E6B" w:rsidRDefault="00490E10">
            <w:proofErr w:type="spellStart"/>
            <w:r>
              <w:t>Revenue</w:t>
            </w:r>
            <w:proofErr w:type="spellEnd"/>
            <w:r w:rsidR="00F24537">
              <w:t xml:space="preserve"> + </w:t>
            </w:r>
          </w:p>
          <w:p w14:paraId="628E8A6B" w14:textId="100F2BC0" w:rsidR="00012ED1" w:rsidRDefault="00F24537">
            <w:r>
              <w:t>Dollarstigning.</w:t>
            </w:r>
          </w:p>
        </w:tc>
        <w:tc>
          <w:tcPr>
            <w:tcW w:w="1604" w:type="dxa"/>
          </w:tcPr>
          <w:p w14:paraId="125E628C" w14:textId="323D31CE" w:rsidR="00111E6B" w:rsidRDefault="000722FE">
            <w:r>
              <w:t>681</w:t>
            </w:r>
          </w:p>
        </w:tc>
        <w:tc>
          <w:tcPr>
            <w:tcW w:w="1603" w:type="dxa"/>
          </w:tcPr>
          <w:p w14:paraId="11611A71" w14:textId="6227A229" w:rsidR="00111E6B" w:rsidRDefault="00905705">
            <w:r>
              <w:t>510</w:t>
            </w:r>
          </w:p>
        </w:tc>
        <w:tc>
          <w:tcPr>
            <w:tcW w:w="1603" w:type="dxa"/>
          </w:tcPr>
          <w:p w14:paraId="55402649" w14:textId="2584EA1E" w:rsidR="00111E6B" w:rsidRDefault="00905705">
            <w:r>
              <w:t>534</w:t>
            </w:r>
          </w:p>
        </w:tc>
        <w:tc>
          <w:tcPr>
            <w:tcW w:w="1604" w:type="dxa"/>
          </w:tcPr>
          <w:p w14:paraId="19099211" w14:textId="771657F6" w:rsidR="00111E6B" w:rsidRDefault="00905705">
            <w:r>
              <w:t>1272</w:t>
            </w:r>
          </w:p>
        </w:tc>
        <w:tc>
          <w:tcPr>
            <w:tcW w:w="1604" w:type="dxa"/>
          </w:tcPr>
          <w:p w14:paraId="1F355DF6" w14:textId="18CD3353" w:rsidR="00111E6B" w:rsidRDefault="00905705">
            <w:r>
              <w:t>299</w:t>
            </w:r>
            <w:r w:rsidR="00490E10">
              <w:t>1</w:t>
            </w:r>
          </w:p>
        </w:tc>
      </w:tr>
    </w:tbl>
    <w:p w14:paraId="4A693028" w14:textId="77777777" w:rsidR="000A17FD" w:rsidRDefault="000A17FD"/>
    <w:p w14:paraId="35323E59" w14:textId="77777777" w:rsidR="00111E6B" w:rsidRDefault="00111E6B"/>
    <w:p w14:paraId="0D5DD856" w14:textId="77777777" w:rsidR="00153E62" w:rsidRDefault="00153E62"/>
    <w:p w14:paraId="42BECB82" w14:textId="316959D2" w:rsidR="00F76FB8" w:rsidRDefault="0021620A">
      <w:r>
        <w:t xml:space="preserve">Q1 = </w:t>
      </w:r>
      <w:r w:rsidR="00153E62">
        <w:t>1,17 % x 0,95 =</w:t>
      </w:r>
      <w:r w:rsidR="00490E10">
        <w:t xml:space="preserve"> 1,11 %</w:t>
      </w:r>
    </w:p>
    <w:p w14:paraId="638E9DD1" w14:textId="31A7A4A8" w:rsidR="00111E6B" w:rsidRDefault="00F76FB8">
      <w:r>
        <w:t xml:space="preserve">Q2 = </w:t>
      </w:r>
      <w:r w:rsidR="00514E68">
        <w:t>4,17 %</w:t>
      </w:r>
      <w:r w:rsidR="00153E62">
        <w:t xml:space="preserve"> x 0,95 =</w:t>
      </w:r>
      <w:r w:rsidR="00490E10">
        <w:t xml:space="preserve"> 3,96 %</w:t>
      </w:r>
    </w:p>
    <w:p w14:paraId="40EF2A45" w14:textId="076492EF" w:rsidR="00514E68" w:rsidRDefault="00514E68">
      <w:r>
        <w:t xml:space="preserve">Q3 = </w:t>
      </w:r>
      <w:r w:rsidR="00012ED1">
        <w:t>6,83 %</w:t>
      </w:r>
      <w:r w:rsidR="00153E62">
        <w:t xml:space="preserve"> x 0,95 =</w:t>
      </w:r>
      <w:r w:rsidR="00490E10">
        <w:t xml:space="preserve"> 6.49 %</w:t>
      </w:r>
    </w:p>
    <w:p w14:paraId="4EB75B29" w14:textId="38657C65" w:rsidR="00012ED1" w:rsidRDefault="00BB53BC">
      <w:r>
        <w:t xml:space="preserve">Q4 = 6,83 % </w:t>
      </w:r>
      <w:r w:rsidR="00153E62">
        <w:t xml:space="preserve">x 0,95 = </w:t>
      </w:r>
      <w:r w:rsidR="00490E10">
        <w:t xml:space="preserve">6,49 % </w:t>
      </w:r>
      <w:r>
        <w:t>**</w:t>
      </w:r>
    </w:p>
    <w:p w14:paraId="1F12BA80" w14:textId="77777777" w:rsidR="00BB53BC" w:rsidRDefault="00BB53BC"/>
    <w:p w14:paraId="301930A8" w14:textId="31CD353F" w:rsidR="00BB53BC" w:rsidRDefault="00BB53BC">
      <w:r>
        <w:t xml:space="preserve">** = Anslået </w:t>
      </w:r>
      <w:r w:rsidR="00905705">
        <w:t xml:space="preserve">ud fra historiske tal. </w:t>
      </w:r>
    </w:p>
    <w:p w14:paraId="714951AF" w14:textId="77777777" w:rsidR="00111E6B" w:rsidRDefault="00111E6B"/>
    <w:p w14:paraId="7DFD7C5A" w14:textId="77777777" w:rsidR="001B0EB2" w:rsidRDefault="001B0E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9"/>
        <w:gridCol w:w="786"/>
        <w:gridCol w:w="786"/>
        <w:gridCol w:w="867"/>
        <w:gridCol w:w="822"/>
        <w:gridCol w:w="791"/>
        <w:gridCol w:w="793"/>
        <w:gridCol w:w="785"/>
        <w:gridCol w:w="791"/>
        <w:gridCol w:w="786"/>
        <w:gridCol w:w="786"/>
      </w:tblGrid>
      <w:tr w:rsidR="001B0EB2" w14:paraId="1D39A174" w14:textId="76B69C98" w:rsidTr="001B0EB2">
        <w:tc>
          <w:tcPr>
            <w:tcW w:w="875" w:type="dxa"/>
          </w:tcPr>
          <w:p w14:paraId="21DF8A1F" w14:textId="77777777" w:rsidR="001B0EB2" w:rsidRDefault="001B0EB2"/>
        </w:tc>
        <w:tc>
          <w:tcPr>
            <w:tcW w:w="875" w:type="dxa"/>
          </w:tcPr>
          <w:p w14:paraId="17C27891" w14:textId="7DD6C1FF" w:rsidR="001B0EB2" w:rsidRDefault="001B0EB2">
            <w:r>
              <w:t>Jan.</w:t>
            </w:r>
          </w:p>
        </w:tc>
        <w:tc>
          <w:tcPr>
            <w:tcW w:w="875" w:type="dxa"/>
          </w:tcPr>
          <w:p w14:paraId="1A981A16" w14:textId="32DD539E" w:rsidR="001B0EB2" w:rsidRDefault="001B0EB2">
            <w:r>
              <w:t>Feb.</w:t>
            </w:r>
          </w:p>
        </w:tc>
        <w:tc>
          <w:tcPr>
            <w:tcW w:w="875" w:type="dxa"/>
          </w:tcPr>
          <w:p w14:paraId="582D7570" w14:textId="6FDD912A" w:rsidR="001B0EB2" w:rsidRDefault="001B0EB2">
            <w:r>
              <w:t>Marts.</w:t>
            </w:r>
          </w:p>
        </w:tc>
        <w:tc>
          <w:tcPr>
            <w:tcW w:w="875" w:type="dxa"/>
          </w:tcPr>
          <w:p w14:paraId="62FF3369" w14:textId="2216DE03" w:rsidR="001B0EB2" w:rsidRDefault="001B0EB2">
            <w:r>
              <w:t>April.</w:t>
            </w:r>
          </w:p>
        </w:tc>
        <w:tc>
          <w:tcPr>
            <w:tcW w:w="874" w:type="dxa"/>
          </w:tcPr>
          <w:p w14:paraId="7364284B" w14:textId="624FE657" w:rsidR="001B0EB2" w:rsidRDefault="001B0EB2">
            <w:r>
              <w:t>Maj.</w:t>
            </w:r>
          </w:p>
        </w:tc>
        <w:tc>
          <w:tcPr>
            <w:tcW w:w="874" w:type="dxa"/>
          </w:tcPr>
          <w:p w14:paraId="646ACDB0" w14:textId="2E447BDC" w:rsidR="001B0EB2" w:rsidRDefault="001B0EB2">
            <w:r>
              <w:t>Juni.</w:t>
            </w:r>
          </w:p>
        </w:tc>
        <w:tc>
          <w:tcPr>
            <w:tcW w:w="874" w:type="dxa"/>
          </w:tcPr>
          <w:p w14:paraId="7061D04C" w14:textId="1450821D" w:rsidR="001B0EB2" w:rsidRDefault="001B0EB2">
            <w:r>
              <w:t>Juli.</w:t>
            </w:r>
          </w:p>
        </w:tc>
        <w:tc>
          <w:tcPr>
            <w:tcW w:w="875" w:type="dxa"/>
          </w:tcPr>
          <w:p w14:paraId="7380DB02" w14:textId="6F9C482E" w:rsidR="001B0EB2" w:rsidRDefault="001B0EB2">
            <w:r>
              <w:t>Aug.</w:t>
            </w:r>
          </w:p>
        </w:tc>
        <w:tc>
          <w:tcPr>
            <w:tcW w:w="875" w:type="dxa"/>
          </w:tcPr>
          <w:p w14:paraId="315ECF0B" w14:textId="598A0F03" w:rsidR="001B0EB2" w:rsidRDefault="001B0EB2">
            <w:r>
              <w:t>Sep.</w:t>
            </w:r>
          </w:p>
        </w:tc>
        <w:tc>
          <w:tcPr>
            <w:tcW w:w="875" w:type="dxa"/>
          </w:tcPr>
          <w:p w14:paraId="56A27B4A" w14:textId="206EBB23" w:rsidR="001B0EB2" w:rsidRDefault="001B0EB2">
            <w:r>
              <w:t>Okt.</w:t>
            </w:r>
          </w:p>
        </w:tc>
      </w:tr>
      <w:tr w:rsidR="001B0EB2" w14:paraId="54FF3CD4" w14:textId="32609A54" w:rsidTr="001B0EB2">
        <w:tc>
          <w:tcPr>
            <w:tcW w:w="875" w:type="dxa"/>
          </w:tcPr>
          <w:p w14:paraId="4681EA63" w14:textId="015522DB" w:rsidR="001B0EB2" w:rsidRDefault="001B0EB2">
            <w:r>
              <w:t>Gennemsnitlig</w:t>
            </w:r>
          </w:p>
          <w:p w14:paraId="46F3AB6B" w14:textId="08EB35E8" w:rsidR="001B0EB2" w:rsidRDefault="00F24537">
            <w:r>
              <w:t>Dollar</w:t>
            </w:r>
            <w:r w:rsidR="001B0EB2">
              <w:t xml:space="preserve">kurs.  </w:t>
            </w:r>
            <w:r>
              <w:t xml:space="preserve">I </w:t>
            </w:r>
            <w:proofErr w:type="spellStart"/>
            <w:r>
              <w:t>D</w:t>
            </w:r>
            <w:r w:rsidR="001B0EB2">
              <w:t>kr</w:t>
            </w:r>
            <w:proofErr w:type="spellEnd"/>
            <w:r w:rsidR="001B0EB2">
              <w:t>.</w:t>
            </w:r>
          </w:p>
        </w:tc>
        <w:tc>
          <w:tcPr>
            <w:tcW w:w="875" w:type="dxa"/>
          </w:tcPr>
          <w:p w14:paraId="0D03FE44" w14:textId="44DEF37A" w:rsidR="001B0EB2" w:rsidRDefault="001B0EB2">
            <w:r>
              <w:t>6,10</w:t>
            </w:r>
          </w:p>
        </w:tc>
        <w:tc>
          <w:tcPr>
            <w:tcW w:w="875" w:type="dxa"/>
          </w:tcPr>
          <w:p w14:paraId="6D3E3ABC" w14:textId="382F6A22" w:rsidR="001B0EB2" w:rsidRDefault="001B0EB2">
            <w:r>
              <w:t>6,06</w:t>
            </w:r>
          </w:p>
        </w:tc>
        <w:tc>
          <w:tcPr>
            <w:tcW w:w="875" w:type="dxa"/>
          </w:tcPr>
          <w:p w14:paraId="07603BCE" w14:textId="0E0779E3" w:rsidR="001B0EB2" w:rsidRDefault="001B0EB2">
            <w:r>
              <w:t>6,05</w:t>
            </w:r>
          </w:p>
        </w:tc>
        <w:tc>
          <w:tcPr>
            <w:tcW w:w="875" w:type="dxa"/>
          </w:tcPr>
          <w:p w14:paraId="11E30AE8" w14:textId="4FDBC3A5" w:rsidR="001B0EB2" w:rsidRDefault="001B0EB2">
            <w:r>
              <w:t>6,07</w:t>
            </w:r>
          </w:p>
        </w:tc>
        <w:tc>
          <w:tcPr>
            <w:tcW w:w="874" w:type="dxa"/>
          </w:tcPr>
          <w:p w14:paraId="4E261B2E" w14:textId="3CED640A" w:rsidR="001B0EB2" w:rsidRDefault="001B0EB2">
            <w:r>
              <w:t>6,30</w:t>
            </w:r>
          </w:p>
        </w:tc>
        <w:tc>
          <w:tcPr>
            <w:tcW w:w="874" w:type="dxa"/>
          </w:tcPr>
          <w:p w14:paraId="26ED96B1" w14:textId="7A2397F7" w:rsidR="001B0EB2" w:rsidRDefault="001B0EB2">
            <w:r>
              <w:t>6,38</w:t>
            </w:r>
          </w:p>
        </w:tc>
        <w:tc>
          <w:tcPr>
            <w:tcW w:w="874" w:type="dxa"/>
          </w:tcPr>
          <w:p w14:paraId="03BADC1F" w14:textId="4289D1BF" w:rsidR="001B0EB2" w:rsidRDefault="001B0EB2">
            <w:r>
              <w:t>6,38</w:t>
            </w:r>
          </w:p>
        </w:tc>
        <w:tc>
          <w:tcPr>
            <w:tcW w:w="875" w:type="dxa"/>
          </w:tcPr>
          <w:p w14:paraId="329B403E" w14:textId="3C405F55" w:rsidR="001B0EB2" w:rsidRDefault="001B0EB2">
            <w:r>
              <w:t>6,46</w:t>
            </w:r>
          </w:p>
        </w:tc>
        <w:tc>
          <w:tcPr>
            <w:tcW w:w="875" w:type="dxa"/>
          </w:tcPr>
          <w:p w14:paraId="08FC6018" w14:textId="0C961CA5" w:rsidR="001B0EB2" w:rsidRDefault="001B0EB2">
            <w:r>
              <w:t>6,40</w:t>
            </w:r>
          </w:p>
        </w:tc>
        <w:tc>
          <w:tcPr>
            <w:tcW w:w="875" w:type="dxa"/>
          </w:tcPr>
          <w:p w14:paraId="3F0D5731" w14:textId="75D59478" w:rsidR="001B0EB2" w:rsidRDefault="001B0EB2">
            <w:r>
              <w:t>6,46</w:t>
            </w:r>
          </w:p>
        </w:tc>
      </w:tr>
    </w:tbl>
    <w:p w14:paraId="009879EB" w14:textId="77777777" w:rsidR="001B0EB2" w:rsidRDefault="001B0EB2"/>
    <w:p w14:paraId="738D865B" w14:textId="77777777" w:rsidR="003D3DAA" w:rsidRDefault="003D3DAA"/>
    <w:p w14:paraId="176836AA" w14:textId="77777777" w:rsidR="003D3DAA" w:rsidRDefault="003D3DAA"/>
    <w:p w14:paraId="7598233A" w14:textId="40DCBA2B" w:rsidR="00F56E91" w:rsidRDefault="00F245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Konklusion. </w:t>
      </w:r>
    </w:p>
    <w:p w14:paraId="269D85DD" w14:textId="77777777" w:rsidR="00F24537" w:rsidRDefault="00F24537">
      <w:pPr>
        <w:rPr>
          <w:b/>
          <w:sz w:val="28"/>
          <w:szCs w:val="28"/>
        </w:rPr>
      </w:pPr>
    </w:p>
    <w:p w14:paraId="2114F49B" w14:textId="36111048" w:rsidR="00F24537" w:rsidRDefault="00F24537">
      <w:r>
        <w:t xml:space="preserve">Kan </w:t>
      </w:r>
      <w:proofErr w:type="spellStart"/>
      <w:r>
        <w:t>Genmab</w:t>
      </w:r>
      <w:proofErr w:type="spellEnd"/>
      <w:r>
        <w:t xml:space="preserve"> opjustere ved Q3. Det korte svar er ja</w:t>
      </w:r>
      <w:r w:rsidR="0051044B">
        <w:t xml:space="preserve">, </w:t>
      </w:r>
      <w:proofErr w:type="spellStart"/>
      <w:proofErr w:type="gramStart"/>
      <w:r w:rsidR="0051044B">
        <w:t>Genmab,</w:t>
      </w:r>
      <w:r w:rsidR="00645877">
        <w:t>s</w:t>
      </w:r>
      <w:proofErr w:type="spellEnd"/>
      <w:proofErr w:type="gramEnd"/>
      <w:r w:rsidR="00645877">
        <w:t xml:space="preserve"> budget forudsætning er ændret, og med de</w:t>
      </w:r>
      <w:r w:rsidR="00CD07EB">
        <w:t xml:space="preserve"> nuværende  makro</w:t>
      </w:r>
      <w:r w:rsidR="00645877">
        <w:t>økonomiske forhold skal man være mere end pessimistisk</w:t>
      </w:r>
      <w:r w:rsidR="00CD07EB">
        <w:t xml:space="preserve"> for at kunne bevare</w:t>
      </w:r>
      <w:r w:rsidR="00890590">
        <w:t xml:space="preserve"> troen på at dollaren skulle kunne nå 6,0 </w:t>
      </w:r>
      <w:proofErr w:type="spellStart"/>
      <w:r w:rsidR="00890590">
        <w:t>Dkr</w:t>
      </w:r>
      <w:proofErr w:type="spellEnd"/>
      <w:r w:rsidR="00890590">
        <w:t xml:space="preserve">. </w:t>
      </w:r>
      <w:r w:rsidR="00CD07EB">
        <w:t xml:space="preserve">I 2018. </w:t>
      </w:r>
    </w:p>
    <w:p w14:paraId="70C44ED4" w14:textId="77777777" w:rsidR="00CD07EB" w:rsidRDefault="00CD07EB"/>
    <w:p w14:paraId="47AA6383" w14:textId="3D5FA375" w:rsidR="00CD07EB" w:rsidRDefault="00CD07EB">
      <w:r>
        <w:t xml:space="preserve">Vil </w:t>
      </w:r>
      <w:proofErr w:type="spellStart"/>
      <w:r>
        <w:t>Genmab</w:t>
      </w:r>
      <w:proofErr w:type="spellEnd"/>
      <w:r>
        <w:t xml:space="preserve"> opjustere, der vil</w:t>
      </w:r>
      <w:r w:rsidR="00EA579F">
        <w:t xml:space="preserve"> være både for</w:t>
      </w:r>
      <w:r>
        <w:t xml:space="preserve"> og imod. </w:t>
      </w:r>
    </w:p>
    <w:p w14:paraId="300F868E" w14:textId="5ED1B621" w:rsidR="00CD07EB" w:rsidRDefault="00CD07EB">
      <w:r>
        <w:t xml:space="preserve">Imod vil være at den største omsætning kommer i Q4, samt at </w:t>
      </w:r>
      <w:r w:rsidR="00EA579F">
        <w:t>dollarkursen</w:t>
      </w:r>
      <w:r>
        <w:t xml:space="preserve"> ikke kendes endnu, </w:t>
      </w:r>
      <w:r w:rsidR="00EA579F">
        <w:t xml:space="preserve">for denne periode </w:t>
      </w:r>
      <w:r>
        <w:t>samt at</w:t>
      </w:r>
      <w:r w:rsidR="00EA579F">
        <w:t xml:space="preserve"> dette må være regnskabschefens bes</w:t>
      </w:r>
      <w:r w:rsidR="00DE3BF2">
        <w:t>lutning, og som muligvis vil gå med livrem og seler.</w:t>
      </w:r>
    </w:p>
    <w:p w14:paraId="430A02D1" w14:textId="77777777" w:rsidR="008C6689" w:rsidRDefault="00DE3BF2">
      <w:r>
        <w:t xml:space="preserve">For skulle være, fordi det er reelt og risikofrit. </w:t>
      </w:r>
      <w:r w:rsidR="00A46285">
        <w:t xml:space="preserve">Kursen er under </w:t>
      </w:r>
      <w:r w:rsidR="00810C09">
        <w:t xml:space="preserve">pres og en opjustering vil være </w:t>
      </w:r>
      <w:r w:rsidR="008C6689">
        <w:t xml:space="preserve">katalysator under kursen. </w:t>
      </w:r>
      <w:r w:rsidR="00A46285">
        <w:t xml:space="preserve"> </w:t>
      </w:r>
    </w:p>
    <w:p w14:paraId="09E544CC" w14:textId="77777777" w:rsidR="008C6689" w:rsidRDefault="008C6689"/>
    <w:p w14:paraId="3B8CF949" w14:textId="77777777" w:rsidR="008C6689" w:rsidRDefault="008C6689"/>
    <w:p w14:paraId="2A4441AF" w14:textId="77777777" w:rsidR="008C6689" w:rsidRDefault="008C6689"/>
    <w:p w14:paraId="545C0AB8" w14:textId="77777777" w:rsidR="008C6689" w:rsidRDefault="008C6689">
      <w:proofErr w:type="spellStart"/>
      <w:r>
        <w:t>Disclamer</w:t>
      </w:r>
      <w:proofErr w:type="spellEnd"/>
      <w:r>
        <w:t xml:space="preserve">: jeg har </w:t>
      </w:r>
      <w:proofErr w:type="spellStart"/>
      <w:r>
        <w:t>Genmab</w:t>
      </w:r>
      <w:proofErr w:type="spellEnd"/>
      <w:r>
        <w:t xml:space="preserve"> Aktier. </w:t>
      </w:r>
    </w:p>
    <w:p w14:paraId="1E842140" w14:textId="77777777" w:rsidR="008C6689" w:rsidRDefault="008C6689"/>
    <w:p w14:paraId="4DFC4747" w14:textId="77777777" w:rsidR="008C6689" w:rsidRDefault="008C6689"/>
    <w:p w14:paraId="24FED22C" w14:textId="62473D04" w:rsidR="00DE3BF2" w:rsidRPr="00F24537" w:rsidRDefault="008C6689">
      <w:r>
        <w:t>JKJ</w:t>
      </w:r>
      <w:r w:rsidR="00DE3BF2">
        <w:t xml:space="preserve"> </w:t>
      </w:r>
    </w:p>
    <w:p w14:paraId="04252BFB" w14:textId="77777777" w:rsidR="00F24537" w:rsidRPr="00F24537" w:rsidRDefault="00F24537">
      <w:pPr>
        <w:rPr>
          <w:b/>
          <w:sz w:val="28"/>
          <w:szCs w:val="28"/>
        </w:rPr>
      </w:pPr>
    </w:p>
    <w:sectPr w:rsidR="00F24537" w:rsidRPr="00F24537" w:rsidSect="00DB177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FD"/>
    <w:rsid w:val="00012ED1"/>
    <w:rsid w:val="000460F8"/>
    <w:rsid w:val="000645AE"/>
    <w:rsid w:val="000722FE"/>
    <w:rsid w:val="000A17FD"/>
    <w:rsid w:val="000C0E33"/>
    <w:rsid w:val="00111E6B"/>
    <w:rsid w:val="00153E62"/>
    <w:rsid w:val="001B0EB2"/>
    <w:rsid w:val="001C4337"/>
    <w:rsid w:val="0021620A"/>
    <w:rsid w:val="0025502E"/>
    <w:rsid w:val="002A2F0D"/>
    <w:rsid w:val="002D5EEC"/>
    <w:rsid w:val="003328B1"/>
    <w:rsid w:val="003D3DAA"/>
    <w:rsid w:val="00490E10"/>
    <w:rsid w:val="00501316"/>
    <w:rsid w:val="0051044B"/>
    <w:rsid w:val="00514E68"/>
    <w:rsid w:val="005A684B"/>
    <w:rsid w:val="005D4AA5"/>
    <w:rsid w:val="00645877"/>
    <w:rsid w:val="00656F29"/>
    <w:rsid w:val="00686A79"/>
    <w:rsid w:val="00727F85"/>
    <w:rsid w:val="00751502"/>
    <w:rsid w:val="00785162"/>
    <w:rsid w:val="0079288E"/>
    <w:rsid w:val="007C21B0"/>
    <w:rsid w:val="007F3CE7"/>
    <w:rsid w:val="00810C09"/>
    <w:rsid w:val="00814500"/>
    <w:rsid w:val="008174B1"/>
    <w:rsid w:val="008439EC"/>
    <w:rsid w:val="008746FF"/>
    <w:rsid w:val="00877304"/>
    <w:rsid w:val="0088355A"/>
    <w:rsid w:val="00890590"/>
    <w:rsid w:val="00891BC8"/>
    <w:rsid w:val="008C6689"/>
    <w:rsid w:val="008D2B49"/>
    <w:rsid w:val="00905705"/>
    <w:rsid w:val="009646A7"/>
    <w:rsid w:val="00995617"/>
    <w:rsid w:val="009A4FFD"/>
    <w:rsid w:val="00A14F76"/>
    <w:rsid w:val="00A46285"/>
    <w:rsid w:val="00A61A4C"/>
    <w:rsid w:val="00A755A8"/>
    <w:rsid w:val="00AB1341"/>
    <w:rsid w:val="00AB64FF"/>
    <w:rsid w:val="00B4003A"/>
    <w:rsid w:val="00B450B3"/>
    <w:rsid w:val="00B72E01"/>
    <w:rsid w:val="00B95A0B"/>
    <w:rsid w:val="00BA1319"/>
    <w:rsid w:val="00BB53BC"/>
    <w:rsid w:val="00C4222F"/>
    <w:rsid w:val="00C74735"/>
    <w:rsid w:val="00CB7D83"/>
    <w:rsid w:val="00CD07EB"/>
    <w:rsid w:val="00D1551E"/>
    <w:rsid w:val="00DB177C"/>
    <w:rsid w:val="00DE3BF2"/>
    <w:rsid w:val="00E569B2"/>
    <w:rsid w:val="00EA579F"/>
    <w:rsid w:val="00F20A79"/>
    <w:rsid w:val="00F24537"/>
    <w:rsid w:val="00F56E91"/>
    <w:rsid w:val="00F76FB8"/>
    <w:rsid w:val="00FB39BC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122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B0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4F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408</Words>
  <Characters>2494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7</cp:revision>
  <dcterms:created xsi:type="dcterms:W3CDTF">2018-10-05T20:02:00Z</dcterms:created>
  <dcterms:modified xsi:type="dcterms:W3CDTF">2018-10-06T13:38:00Z</dcterms:modified>
</cp:coreProperties>
</file>