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F779" w14:textId="543BEDC5" w:rsidR="00BB6782" w:rsidRPr="00690F79" w:rsidRDefault="00BB6782">
      <w:pPr>
        <w:rPr>
          <w:b/>
          <w:bCs/>
          <w:lang w:val="da-DK"/>
        </w:rPr>
      </w:pPr>
      <w:r w:rsidRPr="00690F79">
        <w:rPr>
          <w:b/>
          <w:bCs/>
          <w:lang w:val="da-DK"/>
        </w:rPr>
        <w:t>OMX C25</w:t>
      </w:r>
      <w:r w:rsidR="00690F79" w:rsidRPr="00690F79">
        <w:rPr>
          <w:b/>
          <w:bCs/>
          <w:lang w:val="da-DK"/>
        </w:rPr>
        <w:t xml:space="preserve"> revision: </w:t>
      </w:r>
      <w:r w:rsidR="00295AC3">
        <w:rPr>
          <w:b/>
          <w:bCs/>
          <w:lang w:val="da-DK"/>
        </w:rPr>
        <w:t xml:space="preserve">Afløser </w:t>
      </w:r>
      <w:r w:rsidR="00690F79" w:rsidRPr="00690F79">
        <w:rPr>
          <w:b/>
          <w:bCs/>
          <w:lang w:val="da-DK"/>
        </w:rPr>
        <w:t>Zealand Pharma</w:t>
      </w:r>
      <w:r w:rsidR="00295AC3">
        <w:rPr>
          <w:b/>
          <w:bCs/>
          <w:lang w:val="da-DK"/>
        </w:rPr>
        <w:t>/</w:t>
      </w:r>
      <w:r w:rsidR="00690F79">
        <w:rPr>
          <w:b/>
          <w:bCs/>
          <w:lang w:val="da-DK"/>
        </w:rPr>
        <w:t>NKT</w:t>
      </w:r>
      <w:r w:rsidR="00295AC3">
        <w:rPr>
          <w:b/>
          <w:bCs/>
          <w:lang w:val="da-DK"/>
        </w:rPr>
        <w:t>,</w:t>
      </w:r>
      <w:r w:rsidR="00690F79">
        <w:rPr>
          <w:b/>
          <w:bCs/>
          <w:lang w:val="da-DK"/>
        </w:rPr>
        <w:t xml:space="preserve">  Netcompany og FLSmidth</w:t>
      </w:r>
      <w:r w:rsidR="00295AC3">
        <w:rPr>
          <w:b/>
          <w:bCs/>
          <w:lang w:val="da-DK"/>
        </w:rPr>
        <w:t>?</w:t>
      </w:r>
    </w:p>
    <w:p w14:paraId="2B953569" w14:textId="0D384C68" w:rsidR="00677E9A" w:rsidRPr="002803EB" w:rsidRDefault="00BB6782">
      <w:pPr>
        <w:rPr>
          <w:i/>
          <w:iCs/>
          <w:lang w:val="da-DK"/>
        </w:rPr>
      </w:pPr>
      <w:r w:rsidRPr="002803EB">
        <w:rPr>
          <w:i/>
          <w:iCs/>
          <w:lang w:val="da-DK"/>
        </w:rPr>
        <w:t>Der er stadig 2 handels</w:t>
      </w:r>
      <w:r w:rsidR="000623F2">
        <w:rPr>
          <w:i/>
          <w:iCs/>
          <w:lang w:val="da-DK"/>
        </w:rPr>
        <w:t>-</w:t>
      </w:r>
      <w:r w:rsidRPr="002803EB">
        <w:rPr>
          <w:i/>
          <w:iCs/>
          <w:lang w:val="da-DK"/>
        </w:rPr>
        <w:t>uger og 9 handelsdage tilbage</w:t>
      </w:r>
      <w:r w:rsidR="000623F2">
        <w:rPr>
          <w:i/>
          <w:iCs/>
          <w:lang w:val="da-DK"/>
        </w:rPr>
        <w:t>,</w:t>
      </w:r>
      <w:r w:rsidRPr="002803EB">
        <w:rPr>
          <w:i/>
          <w:iCs/>
          <w:lang w:val="da-DK"/>
        </w:rPr>
        <w:t xml:space="preserve"> og der kan stadig nå at ske en hel del med </w:t>
      </w:r>
      <w:r w:rsidR="000623F2">
        <w:rPr>
          <w:i/>
          <w:iCs/>
          <w:lang w:val="da-DK"/>
        </w:rPr>
        <w:t>OMX C</w:t>
      </w:r>
      <w:r w:rsidRPr="002803EB">
        <w:rPr>
          <w:i/>
          <w:iCs/>
          <w:lang w:val="da-DK"/>
        </w:rPr>
        <w:t xml:space="preserve">25 sammensætningen. </w:t>
      </w:r>
      <w:r w:rsidR="000623F2">
        <w:rPr>
          <w:i/>
          <w:iCs/>
          <w:lang w:val="da-DK"/>
        </w:rPr>
        <w:t xml:space="preserve">Vores </w:t>
      </w:r>
      <w:r w:rsidRPr="002803EB">
        <w:rPr>
          <w:i/>
          <w:iCs/>
          <w:lang w:val="da-DK"/>
        </w:rPr>
        <w:t xml:space="preserve">beregninger viser, at Zealand Pharma synes at være på vej ind som nyt C25 selskab og </w:t>
      </w:r>
      <w:r w:rsidR="00E41AE6">
        <w:rPr>
          <w:i/>
          <w:iCs/>
          <w:lang w:val="da-DK"/>
        </w:rPr>
        <w:t xml:space="preserve">får følgeskab </w:t>
      </w:r>
      <w:r w:rsidRPr="002803EB">
        <w:rPr>
          <w:i/>
          <w:iCs/>
          <w:lang w:val="da-DK"/>
        </w:rPr>
        <w:t xml:space="preserve">af NKT. Netcompany og FLSmidth kan være i farezonen for at ryge ud og Royal Unibrew sidder på </w:t>
      </w:r>
      <w:r w:rsidR="000623F2">
        <w:rPr>
          <w:i/>
          <w:iCs/>
          <w:lang w:val="da-DK"/>
        </w:rPr>
        <w:t xml:space="preserve">et indeksmæssigt </w:t>
      </w:r>
      <w:r w:rsidRPr="002803EB">
        <w:rPr>
          <w:i/>
          <w:iCs/>
          <w:lang w:val="da-DK"/>
        </w:rPr>
        <w:t>yderlig</w:t>
      </w:r>
      <w:r w:rsidR="000623F2">
        <w:rPr>
          <w:i/>
          <w:iCs/>
          <w:lang w:val="da-DK"/>
        </w:rPr>
        <w:t>t</w:t>
      </w:r>
      <w:r w:rsidRPr="002803EB">
        <w:rPr>
          <w:i/>
          <w:iCs/>
          <w:lang w:val="da-DK"/>
        </w:rPr>
        <w:t xml:space="preserve"> mandat</w:t>
      </w:r>
      <w:r w:rsidR="000623F2">
        <w:rPr>
          <w:i/>
          <w:iCs/>
          <w:lang w:val="da-DK"/>
        </w:rPr>
        <w:t>.</w:t>
      </w:r>
    </w:p>
    <w:p w14:paraId="26F80C9B" w14:textId="2814E231" w:rsidR="00BB6782" w:rsidRPr="002803EB" w:rsidRDefault="002803EB">
      <w:pPr>
        <w:rPr>
          <w:b/>
          <w:bCs/>
          <w:lang w:val="da-DK"/>
        </w:rPr>
      </w:pPr>
      <w:r w:rsidRPr="002803EB">
        <w:rPr>
          <w:b/>
          <w:bCs/>
          <w:lang w:val="da-DK"/>
        </w:rPr>
        <w:t xml:space="preserve">Tæt løb om </w:t>
      </w:r>
      <w:r w:rsidR="00BB6782" w:rsidRPr="002803EB">
        <w:rPr>
          <w:b/>
          <w:bCs/>
          <w:lang w:val="da-DK"/>
        </w:rPr>
        <w:t>C25 medlemskab</w:t>
      </w:r>
    </w:p>
    <w:p w14:paraId="672D8CE0" w14:textId="65021976" w:rsidR="00BB6782" w:rsidRDefault="00BB6782">
      <w:pPr>
        <w:rPr>
          <w:lang w:val="da-DK"/>
        </w:rPr>
      </w:pPr>
      <w:r>
        <w:rPr>
          <w:lang w:val="da-DK"/>
        </w:rPr>
        <w:t>Om blot 9 handelsdage bliver den sidste beregning lavet</w:t>
      </w:r>
      <w:r w:rsidR="00C52711">
        <w:rPr>
          <w:lang w:val="da-DK"/>
        </w:rPr>
        <w:t>,</w:t>
      </w:r>
      <w:r>
        <w:rPr>
          <w:lang w:val="da-DK"/>
        </w:rPr>
        <w:t xml:space="preserve"> og de selskaber som får lov til at være en del af </w:t>
      </w:r>
      <w:r w:rsidR="00C52711">
        <w:rPr>
          <w:lang w:val="da-DK"/>
        </w:rPr>
        <w:t xml:space="preserve">det fremtidiige </w:t>
      </w:r>
      <w:r>
        <w:rPr>
          <w:lang w:val="da-DK"/>
        </w:rPr>
        <w:t>OMX C2</w:t>
      </w:r>
      <w:r w:rsidR="000623F2">
        <w:rPr>
          <w:lang w:val="da-DK"/>
        </w:rPr>
        <w:t>5</w:t>
      </w:r>
      <w:r w:rsidR="00C52711">
        <w:rPr>
          <w:lang w:val="da-DK"/>
        </w:rPr>
        <w:t>-</w:t>
      </w:r>
      <w:r w:rsidR="000623F2">
        <w:rPr>
          <w:lang w:val="da-DK"/>
        </w:rPr>
        <w:t>indekset og kan kalde sig ”OMX-C25 selskab”</w:t>
      </w:r>
      <w:r>
        <w:rPr>
          <w:lang w:val="da-DK"/>
        </w:rPr>
        <w:t xml:space="preserve"> bliver fundet. Intet er endnu afgjort i den kamp, hvor det ikke er topplaceringerne, hvor der er mest kamp</w:t>
      </w:r>
      <w:r w:rsidR="000623F2">
        <w:rPr>
          <w:lang w:val="da-DK"/>
        </w:rPr>
        <w:t xml:space="preserve"> og spænding</w:t>
      </w:r>
      <w:r>
        <w:rPr>
          <w:lang w:val="da-DK"/>
        </w:rPr>
        <w:t>, men ned</w:t>
      </w:r>
      <w:r w:rsidR="00C52711">
        <w:rPr>
          <w:lang w:val="da-DK"/>
        </w:rPr>
        <w:t>- og op</w:t>
      </w:r>
      <w:r>
        <w:rPr>
          <w:lang w:val="da-DK"/>
        </w:rPr>
        <w:t>rykningskampen, som der er mest opmærksomhed om</w:t>
      </w:r>
      <w:r w:rsidR="000623F2">
        <w:rPr>
          <w:lang w:val="da-DK"/>
        </w:rPr>
        <w:t>.</w:t>
      </w:r>
    </w:p>
    <w:p w14:paraId="0C87F8C3" w14:textId="1A070ACB" w:rsidR="00BB6782" w:rsidRPr="002803EB" w:rsidRDefault="00BB6782">
      <w:pPr>
        <w:rPr>
          <w:b/>
          <w:bCs/>
          <w:lang w:val="da-DK"/>
        </w:rPr>
      </w:pPr>
      <w:r w:rsidRPr="002803EB">
        <w:rPr>
          <w:b/>
          <w:bCs/>
          <w:lang w:val="da-DK"/>
        </w:rPr>
        <w:t>Det hele startede i 1989</w:t>
      </w:r>
    </w:p>
    <w:p w14:paraId="6A4805CE" w14:textId="5F0AEB3D" w:rsidR="00BB6782" w:rsidRDefault="00BB6782">
      <w:pPr>
        <w:rPr>
          <w:lang w:val="da-DK"/>
        </w:rPr>
      </w:pPr>
      <w:r>
        <w:rPr>
          <w:lang w:val="da-DK"/>
        </w:rPr>
        <w:t xml:space="preserve">Alle større lande har deres toneangivende aktieindeks. Med start den 3/7 1989 fik vi i Danmark et udvalg af de 20 største selskaber. Senere blev det udvidet til </w:t>
      </w:r>
      <w:r w:rsidR="001B375B">
        <w:rPr>
          <w:lang w:val="da-DK"/>
        </w:rPr>
        <w:t>OMX-</w:t>
      </w:r>
      <w:r>
        <w:rPr>
          <w:lang w:val="da-DK"/>
        </w:rPr>
        <w:t>C25</w:t>
      </w:r>
      <w:r w:rsidR="000623F2">
        <w:rPr>
          <w:lang w:val="da-DK"/>
        </w:rPr>
        <w:t>.</w:t>
      </w:r>
      <w:r>
        <w:rPr>
          <w:lang w:val="da-DK"/>
        </w:rPr>
        <w:t xml:space="preserve"> </w:t>
      </w:r>
    </w:p>
    <w:p w14:paraId="5E2840F9" w14:textId="6813AFE3" w:rsidR="00BB6782" w:rsidRPr="002803EB" w:rsidRDefault="00BB6782">
      <w:pPr>
        <w:rPr>
          <w:b/>
          <w:bCs/>
          <w:lang w:val="da-DK"/>
        </w:rPr>
      </w:pPr>
      <w:r w:rsidRPr="002803EB">
        <w:rPr>
          <w:b/>
          <w:bCs/>
          <w:lang w:val="da-DK"/>
        </w:rPr>
        <w:t xml:space="preserve">En del af det gode selskab </w:t>
      </w:r>
    </w:p>
    <w:p w14:paraId="70389368" w14:textId="32EE366A" w:rsidR="00BB6782" w:rsidRDefault="00BB6782">
      <w:pPr>
        <w:rPr>
          <w:lang w:val="da-DK"/>
        </w:rPr>
      </w:pPr>
      <w:r>
        <w:rPr>
          <w:lang w:val="da-DK"/>
        </w:rPr>
        <w:t xml:space="preserve">Selskaberne og investorerne opfatter det at være med i et benchmark indeks, som en blåstempling af, at man er en del af det gode selskab. </w:t>
      </w:r>
      <w:r w:rsidR="001B375B">
        <w:rPr>
          <w:lang w:val="da-DK"/>
        </w:rPr>
        <w:t>OMX-</w:t>
      </w:r>
      <w:r>
        <w:rPr>
          <w:lang w:val="da-DK"/>
        </w:rPr>
        <w:t>C25 er de største selskaber målt som den samlede værdi af aktierne, som danner basis for en ”bruttoudvælgelse”. Ud fra gruppen af de 35 største selskaber (brutto</w:t>
      </w:r>
      <w:r w:rsidR="00B46D6F">
        <w:rPr>
          <w:lang w:val="da-DK"/>
        </w:rPr>
        <w:t>truppen</w:t>
      </w:r>
      <w:r>
        <w:rPr>
          <w:lang w:val="da-DK"/>
        </w:rPr>
        <w:t xml:space="preserve">) udvælges holdet </w:t>
      </w:r>
      <w:r w:rsidR="00B46D6F">
        <w:rPr>
          <w:lang w:val="da-DK"/>
        </w:rPr>
        <w:t xml:space="preserve">bestående </w:t>
      </w:r>
      <w:r>
        <w:rPr>
          <w:lang w:val="da-DK"/>
        </w:rPr>
        <w:t>af 25 aktier.</w:t>
      </w:r>
    </w:p>
    <w:p w14:paraId="5ED5CD26" w14:textId="1B174FF1" w:rsidR="00B46D6F" w:rsidRPr="00B46D6F" w:rsidRDefault="00B46D6F">
      <w:pPr>
        <w:rPr>
          <w:b/>
          <w:bCs/>
          <w:lang w:val="da-DK"/>
        </w:rPr>
      </w:pPr>
      <w:r w:rsidRPr="00B46D6F">
        <w:rPr>
          <w:b/>
          <w:bCs/>
          <w:lang w:val="da-DK"/>
        </w:rPr>
        <w:t>Udgangspunktet er markedsværdien</w:t>
      </w:r>
    </w:p>
    <w:p w14:paraId="5075B8C3" w14:textId="3DAB82F5" w:rsidR="00BB6782" w:rsidRDefault="00BB6782">
      <w:pPr>
        <w:rPr>
          <w:lang w:val="da-DK"/>
        </w:rPr>
      </w:pPr>
      <w:r>
        <w:rPr>
          <w:lang w:val="da-DK"/>
        </w:rPr>
        <w:t>Udvælgelse</w:t>
      </w:r>
      <w:r w:rsidR="00C52711">
        <w:rPr>
          <w:lang w:val="da-DK"/>
        </w:rPr>
        <w:t>n</w:t>
      </w:r>
      <w:r>
        <w:rPr>
          <w:lang w:val="da-DK"/>
        </w:rPr>
        <w:t xml:space="preserve"> sker på basis af markedsværdien af ”free-float”; altså </w:t>
      </w:r>
      <w:r w:rsidR="00C52711">
        <w:rPr>
          <w:lang w:val="da-DK"/>
        </w:rPr>
        <w:t>markedsværdien af</w:t>
      </w:r>
      <w:r>
        <w:rPr>
          <w:lang w:val="da-DK"/>
        </w:rPr>
        <w:t xml:space="preserve"> </w:t>
      </w:r>
      <w:r w:rsidR="00C52711">
        <w:rPr>
          <w:lang w:val="da-DK"/>
        </w:rPr>
        <w:t xml:space="preserve">de </w:t>
      </w:r>
      <w:r>
        <w:rPr>
          <w:lang w:val="da-DK"/>
        </w:rPr>
        <w:t>aktier som frit kan handles og omsættes</w:t>
      </w:r>
      <w:r w:rsidR="00C52711">
        <w:rPr>
          <w:lang w:val="da-DK"/>
        </w:rPr>
        <w:t xml:space="preserve"> per ultimo 31/10 for så vidt angår den kommende revision</w:t>
      </w:r>
      <w:r>
        <w:rPr>
          <w:lang w:val="da-DK"/>
        </w:rPr>
        <w:t xml:space="preserve">. Er der </w:t>
      </w:r>
      <w:proofErr w:type="gramStart"/>
      <w:r>
        <w:rPr>
          <w:lang w:val="da-DK"/>
        </w:rPr>
        <w:t>eksempelvis</w:t>
      </w:r>
      <w:proofErr w:type="gramEnd"/>
      <w:r>
        <w:rPr>
          <w:lang w:val="da-DK"/>
        </w:rPr>
        <w:t xml:space="preserve"> et selskab med en meget stor markedsværdi, men hvor </w:t>
      </w:r>
      <w:r w:rsidR="00E35487">
        <w:rPr>
          <w:lang w:val="da-DK"/>
        </w:rPr>
        <w:t xml:space="preserve">næsten alle aktier kontrolleres af </w:t>
      </w:r>
      <w:r w:rsidR="00C52711">
        <w:rPr>
          <w:lang w:val="da-DK"/>
        </w:rPr>
        <w:t>een</w:t>
      </w:r>
      <w:r w:rsidR="00B46D6F">
        <w:rPr>
          <w:lang w:val="da-DK"/>
        </w:rPr>
        <w:t xml:space="preserve"> eller få </w:t>
      </w:r>
      <w:r w:rsidR="00E35487">
        <w:rPr>
          <w:lang w:val="da-DK"/>
        </w:rPr>
        <w:t>ejer</w:t>
      </w:r>
      <w:r w:rsidR="00B46D6F">
        <w:rPr>
          <w:lang w:val="da-DK"/>
        </w:rPr>
        <w:t>e</w:t>
      </w:r>
      <w:r w:rsidR="00E35487">
        <w:rPr>
          <w:lang w:val="da-DK"/>
        </w:rPr>
        <w:t>, som ikke køber og sælger disse aktier, vil det kun være den del, som er frit omsættelig, som indgår som markedsværdi. Det er den første dimension af ”omsættelighed”. Hvis der ikke er så meget, som kan omsættes, har selskabet kun en mindre offentlig interesse.</w:t>
      </w:r>
    </w:p>
    <w:p w14:paraId="28109F77" w14:textId="41EF2F19" w:rsidR="00B46D6F" w:rsidRPr="00B46D6F" w:rsidRDefault="00B46D6F">
      <w:pPr>
        <w:rPr>
          <w:b/>
          <w:bCs/>
          <w:lang w:val="da-DK"/>
        </w:rPr>
      </w:pPr>
      <w:r w:rsidRPr="00B46D6F">
        <w:rPr>
          <w:b/>
          <w:bCs/>
          <w:lang w:val="da-DK"/>
        </w:rPr>
        <w:t>Omsættelighed og likviditet gør udslaget</w:t>
      </w:r>
    </w:p>
    <w:p w14:paraId="1BF831EE" w14:textId="00167D79" w:rsidR="00E35487" w:rsidRDefault="00E35487">
      <w:pPr>
        <w:rPr>
          <w:lang w:val="da-DK"/>
        </w:rPr>
      </w:pPr>
      <w:r>
        <w:rPr>
          <w:lang w:val="da-DK"/>
        </w:rPr>
        <w:t>Den anden dimension er, hvor meget aktien rent faktisk bliver omsat i en 6 måneders referenceperiode. Den løber fra 1/6 til 30/11 og fra 1/12 til 31/5. Når Nasdaq om</w:t>
      </w:r>
      <w:r w:rsidR="00832281">
        <w:rPr>
          <w:lang w:val="da-DK"/>
        </w:rPr>
        <w:t xml:space="preserve"> </w:t>
      </w:r>
      <w:r w:rsidR="00C52711">
        <w:rPr>
          <w:lang w:val="da-DK"/>
        </w:rPr>
        <w:t>lidt mere end</w:t>
      </w:r>
      <w:r w:rsidR="00832281">
        <w:rPr>
          <w:lang w:val="da-DK"/>
        </w:rPr>
        <w:t xml:space="preserve"> 3 uger offentliggør hvilke selskaber der over de efterfølgende 6 måneder bliver en del af det gode selskab, sker det på basis af den samlede omsætning i referenceperioden.</w:t>
      </w:r>
    </w:p>
    <w:p w14:paraId="75A17033" w14:textId="05C42B82" w:rsidR="00832281" w:rsidRPr="002803EB" w:rsidRDefault="00832281">
      <w:pPr>
        <w:rPr>
          <w:b/>
          <w:bCs/>
          <w:lang w:val="da-DK"/>
        </w:rPr>
      </w:pPr>
      <w:r w:rsidRPr="002803EB">
        <w:rPr>
          <w:b/>
          <w:bCs/>
          <w:lang w:val="da-DK"/>
        </w:rPr>
        <w:t>Vær varsom</w:t>
      </w:r>
      <w:r w:rsidR="002803EB">
        <w:rPr>
          <w:b/>
          <w:bCs/>
          <w:lang w:val="da-DK"/>
        </w:rPr>
        <w:t xml:space="preserve"> med førtidige konklusioner</w:t>
      </w:r>
    </w:p>
    <w:p w14:paraId="6CFC0946" w14:textId="74DC4306" w:rsidR="00832281" w:rsidRDefault="00832281">
      <w:pPr>
        <w:rPr>
          <w:lang w:val="da-DK"/>
        </w:rPr>
      </w:pPr>
      <w:r>
        <w:rPr>
          <w:lang w:val="da-DK"/>
        </w:rPr>
        <w:t>Intet er endnu afgjort, og det er kun Nasdaq, som til syvende og sidst offentliggør, hvordan de 25 selskaber i indekset ser ud</w:t>
      </w:r>
      <w:r w:rsidR="00B46D6F">
        <w:rPr>
          <w:lang w:val="da-DK"/>
        </w:rPr>
        <w:t xml:space="preserve"> fremadrettet</w:t>
      </w:r>
      <w:r>
        <w:rPr>
          <w:lang w:val="da-DK"/>
        </w:rPr>
        <w:t>. Nedenstående er derfor med forbehold for ”dataunøjagtigheder” med hensyn til udvælgelseskriterier såsom markedsværdi af free-float og det som er omsat</w:t>
      </w:r>
      <w:r w:rsidR="00B46D6F">
        <w:rPr>
          <w:lang w:val="da-DK"/>
        </w:rPr>
        <w:t>. Plus vores beregninger.</w:t>
      </w:r>
    </w:p>
    <w:p w14:paraId="6250060F" w14:textId="29CFC587" w:rsidR="000D54DB" w:rsidRDefault="00C52711">
      <w:pPr>
        <w:rPr>
          <w:lang w:val="da-DK"/>
        </w:rPr>
      </w:pPr>
      <w:r>
        <w:rPr>
          <w:lang w:val="da-DK"/>
        </w:rPr>
        <w:t xml:space="preserve">Vores </w:t>
      </w:r>
      <w:r w:rsidR="000D54DB">
        <w:rPr>
          <w:lang w:val="da-DK"/>
        </w:rPr>
        <w:t>beregninger</w:t>
      </w:r>
      <w:r>
        <w:rPr>
          <w:lang w:val="da-DK"/>
        </w:rPr>
        <w:t xml:space="preserve"> viser</w:t>
      </w:r>
      <w:r w:rsidR="000D54DB">
        <w:rPr>
          <w:lang w:val="da-DK"/>
        </w:rPr>
        <w:t>, at der skal ske temmelig meget på de sidste og resterende 9 handelsdage i november, før FLSmidth og Netcompany kan forblive inde.</w:t>
      </w:r>
      <w:r w:rsidR="00E41AE6">
        <w:rPr>
          <w:lang w:val="da-DK"/>
        </w:rPr>
        <w:t xml:space="preserve"> Der er aktielikviditeten, som gør forskellen, og selv om Netcompany efter kvartalsregnskaberne har været flittigt handlet, har kursfaldet og</w:t>
      </w:r>
      <w:r>
        <w:rPr>
          <w:lang w:val="da-DK"/>
        </w:rPr>
        <w:t xml:space="preserve"> rækken af ”</w:t>
      </w:r>
      <w:r w:rsidR="00E41AE6">
        <w:rPr>
          <w:lang w:val="da-DK"/>
        </w:rPr>
        <w:t>ujævne</w:t>
      </w:r>
      <w:r>
        <w:rPr>
          <w:lang w:val="da-DK"/>
        </w:rPr>
        <w:t>”</w:t>
      </w:r>
      <w:r w:rsidR="00E41AE6">
        <w:rPr>
          <w:lang w:val="da-DK"/>
        </w:rPr>
        <w:t xml:space="preserve"> resultater gjort forskellen.</w:t>
      </w:r>
    </w:p>
    <w:p w14:paraId="0AB03BA8" w14:textId="649198D2" w:rsidR="00341C1C" w:rsidRPr="000D54DB" w:rsidRDefault="00341C1C">
      <w:pPr>
        <w:rPr>
          <w:b/>
          <w:bCs/>
          <w:lang w:val="da-DK"/>
        </w:rPr>
      </w:pPr>
      <w:r w:rsidRPr="000D54DB">
        <w:rPr>
          <w:b/>
          <w:bCs/>
          <w:lang w:val="da-DK"/>
        </w:rPr>
        <w:lastRenderedPageBreak/>
        <w:t>Intens kamp om markedsværdipladserne betyder mindre</w:t>
      </w:r>
    </w:p>
    <w:p w14:paraId="6B1EF74D" w14:textId="07A48C3C" w:rsidR="00341C1C" w:rsidRDefault="000D54DB">
      <w:pPr>
        <w:rPr>
          <w:lang w:val="da-DK"/>
        </w:rPr>
      </w:pPr>
      <w:r>
        <w:rPr>
          <w:lang w:val="da-DK"/>
        </w:rPr>
        <w:t xml:space="preserve">I bruttogruppen fra #20 og en række pladser </w:t>
      </w:r>
      <w:r w:rsidR="00C52711">
        <w:rPr>
          <w:lang w:val="da-DK"/>
        </w:rPr>
        <w:t>ned</w:t>
      </w:r>
      <w:r>
        <w:rPr>
          <w:lang w:val="da-DK"/>
        </w:rPr>
        <w:t>, ligger det nedre midterfelt relativ tæt. Selv om det kan give anledning til usikkerhed, er det reelt en opgørelse, som trods alt har mindre betydning, fordi det er markedsværdien af likviditeten, som gør den store forskel</w:t>
      </w:r>
    </w:p>
    <w:p w14:paraId="1EE1BAE2" w14:textId="2E8C3FD9" w:rsidR="00832281" w:rsidRPr="002803EB" w:rsidRDefault="00A54963">
      <w:pPr>
        <w:rPr>
          <w:b/>
          <w:bCs/>
          <w:lang w:val="da-DK"/>
        </w:rPr>
      </w:pPr>
      <w:r>
        <w:rPr>
          <w:b/>
          <w:bCs/>
          <w:lang w:val="da-DK"/>
        </w:rPr>
        <w:t xml:space="preserve">Måske på vej ind: </w:t>
      </w:r>
      <w:r w:rsidR="00832281" w:rsidRPr="002803EB">
        <w:rPr>
          <w:b/>
          <w:bCs/>
          <w:lang w:val="da-DK"/>
        </w:rPr>
        <w:t xml:space="preserve">Zealand Pharma </w:t>
      </w:r>
      <w:r>
        <w:rPr>
          <w:b/>
          <w:bCs/>
          <w:lang w:val="da-DK"/>
        </w:rPr>
        <w:t>– Kursstigninger skabt af pipeline + fedme</w:t>
      </w:r>
    </w:p>
    <w:p w14:paraId="4B9C3BF5" w14:textId="036FFB80" w:rsidR="00832281" w:rsidRDefault="00832281">
      <w:pPr>
        <w:rPr>
          <w:lang w:val="da-DK"/>
        </w:rPr>
      </w:pPr>
      <w:r>
        <w:rPr>
          <w:lang w:val="da-DK"/>
        </w:rPr>
        <w:t xml:space="preserve">Zealand Pharma har haft en fænomenal kursudvikling siden bunden blev nået i noget nær </w:t>
      </w:r>
      <w:r w:rsidR="00B46D6F">
        <w:rPr>
          <w:lang w:val="da-DK"/>
        </w:rPr>
        <w:t xml:space="preserve">kurs </w:t>
      </w:r>
      <w:r>
        <w:rPr>
          <w:lang w:val="da-DK"/>
        </w:rPr>
        <w:t>75. Dengang var selskabet, som så mange andre biotekselskaber</w:t>
      </w:r>
      <w:r w:rsidR="00B46D6F">
        <w:rPr>
          <w:lang w:val="da-DK"/>
        </w:rPr>
        <w:t>,</w:t>
      </w:r>
      <w:r>
        <w:rPr>
          <w:lang w:val="da-DK"/>
        </w:rPr>
        <w:t xml:space="preserve"> ramt af den ”biotektristesse”, som der langsigtet kan være i sektoren. Gode forskningsdata og ikke mindst interessen for overvægt, har gjort den fede forskel. Det skyldes både den interesse som Novo Nordisk har skabt, men ikke mindst også, at Zealand Pharma sammen med sin tyske partner Boehringer Ingelheim </w:t>
      </w:r>
      <w:r w:rsidR="00B46D6F">
        <w:rPr>
          <w:lang w:val="da-DK"/>
        </w:rPr>
        <w:t>har fremlagt interessante data om fedme, som lige er overgået fra udviklingsfase 2 til 3</w:t>
      </w:r>
      <w:r w:rsidR="0026049F">
        <w:rPr>
          <w:lang w:val="da-DK"/>
        </w:rPr>
        <w:t xml:space="preserve">. </w:t>
      </w:r>
    </w:p>
    <w:p w14:paraId="200F4ABD" w14:textId="4CFCF0E6" w:rsidR="00341C1C" w:rsidRPr="002803EB" w:rsidRDefault="00A54963" w:rsidP="00341C1C">
      <w:pPr>
        <w:rPr>
          <w:b/>
          <w:bCs/>
          <w:lang w:val="da-DK"/>
        </w:rPr>
      </w:pPr>
      <w:r>
        <w:rPr>
          <w:b/>
          <w:bCs/>
          <w:lang w:val="da-DK"/>
        </w:rPr>
        <w:t xml:space="preserve">Måske på vej ind: </w:t>
      </w:r>
      <w:r w:rsidR="00341C1C" w:rsidRPr="002803EB">
        <w:rPr>
          <w:b/>
          <w:bCs/>
          <w:lang w:val="da-DK"/>
        </w:rPr>
        <w:t>NKT – Grøn omst</w:t>
      </w:r>
      <w:r w:rsidR="00341C1C">
        <w:rPr>
          <w:b/>
          <w:bCs/>
          <w:lang w:val="da-DK"/>
        </w:rPr>
        <w:t>illing giver højspændt efterspørgsel</w:t>
      </w:r>
    </w:p>
    <w:p w14:paraId="05B2F5ED" w14:textId="2CFDA2B9" w:rsidR="00341C1C" w:rsidRDefault="00341C1C" w:rsidP="00341C1C">
      <w:pPr>
        <w:rPr>
          <w:lang w:val="da-DK"/>
        </w:rPr>
      </w:pPr>
      <w:r>
        <w:rPr>
          <w:lang w:val="da-DK"/>
        </w:rPr>
        <w:t xml:space="preserve">Mens giganter som Vestas/Ørsted har oplevet en kursderoute, ser det bedre ud for NKT. Der kommer ikke nogen grøn omstilling </w:t>
      </w:r>
      <w:proofErr w:type="gramStart"/>
      <w:r>
        <w:rPr>
          <w:lang w:val="da-DK"/>
        </w:rPr>
        <w:t>med mindre</w:t>
      </w:r>
      <w:proofErr w:type="gramEnd"/>
      <w:r>
        <w:rPr>
          <w:lang w:val="da-DK"/>
        </w:rPr>
        <w:t xml:space="preserve"> den energi der bliver produceret, kan transporteres over lange afstande. Det er her </w:t>
      </w:r>
      <w:proofErr w:type="gramStart"/>
      <w:r>
        <w:rPr>
          <w:lang w:val="da-DK"/>
        </w:rPr>
        <w:t>NKTs</w:t>
      </w:r>
      <w:proofErr w:type="gramEnd"/>
      <w:r>
        <w:rPr>
          <w:lang w:val="da-DK"/>
        </w:rPr>
        <w:t xml:space="preserve"> højspændingskabler kan være med til at gøre den gode forskel. Kombinationen af et par kapitaludvidelser, stigende aktiekurser og øget omsætningsinteresse, har bragt NKT tæt på en C25 placering. </w:t>
      </w:r>
    </w:p>
    <w:p w14:paraId="73B35E1F" w14:textId="2B30D025" w:rsidR="0026049F" w:rsidRPr="002803EB" w:rsidRDefault="00A54963">
      <w:pPr>
        <w:rPr>
          <w:b/>
          <w:bCs/>
          <w:lang w:val="da-DK"/>
        </w:rPr>
      </w:pPr>
      <w:r>
        <w:rPr>
          <w:b/>
          <w:bCs/>
          <w:lang w:val="da-DK"/>
        </w:rPr>
        <w:t xml:space="preserve">Måske på vej ud: </w:t>
      </w:r>
      <w:r w:rsidR="0026049F" w:rsidRPr="002803EB">
        <w:rPr>
          <w:b/>
          <w:bCs/>
          <w:lang w:val="da-DK"/>
        </w:rPr>
        <w:t>Netcompany – højt at flyve – dybt at falde</w:t>
      </w:r>
    </w:p>
    <w:p w14:paraId="3D1C4FDD" w14:textId="23C74FFA" w:rsidR="0026049F" w:rsidRDefault="0026049F">
      <w:pPr>
        <w:rPr>
          <w:lang w:val="da-DK"/>
        </w:rPr>
      </w:pPr>
      <w:proofErr w:type="gramStart"/>
      <w:r>
        <w:rPr>
          <w:lang w:val="da-DK"/>
        </w:rPr>
        <w:t>Tro)faste</w:t>
      </w:r>
      <w:proofErr w:type="gramEnd"/>
      <w:r>
        <w:rPr>
          <w:lang w:val="da-DK"/>
        </w:rPr>
        <w:t>) læsere af ”karakterbogen” vil formentlig nikke genkendende til, at jeg desværre har været nødsaget til at give (for) mange anmærkninger i de kvartalsvise karakterbøger.</w:t>
      </w:r>
      <w:r w:rsidR="003A739F">
        <w:rPr>
          <w:lang w:val="da-DK"/>
        </w:rPr>
        <w:t xml:space="preserve"> Også senest, som kan ses </w:t>
      </w:r>
      <w:hyperlink r:id="rId5" w:history="1">
        <w:r w:rsidR="003A739F" w:rsidRPr="003A739F">
          <w:rPr>
            <w:rStyle w:val="Hyperlink"/>
            <w:lang w:val="da-DK"/>
          </w:rPr>
          <w:t>her</w:t>
        </w:r>
      </w:hyperlink>
      <w:r w:rsidR="003A739F">
        <w:rPr>
          <w:lang w:val="da-DK"/>
        </w:rPr>
        <w:t>.</w:t>
      </w:r>
      <w:r>
        <w:rPr>
          <w:lang w:val="da-DK"/>
        </w:rPr>
        <w:t xml:space="preserve"> Netcompany strøg ind som børsnoteret selskab på kurs 155; kursen steg som en raket og ramte kortvarigt mere end en 5x og fik en markedsværdi på +40 mia</w:t>
      </w:r>
      <w:r w:rsidR="002803EB">
        <w:rPr>
          <w:lang w:val="da-DK"/>
        </w:rPr>
        <w:t>.</w:t>
      </w:r>
      <w:r>
        <w:rPr>
          <w:lang w:val="da-DK"/>
        </w:rPr>
        <w:t xml:space="preserve">! </w:t>
      </w:r>
    </w:p>
    <w:p w14:paraId="1273F76A" w14:textId="2F223116" w:rsidR="0026049F" w:rsidRDefault="0026049F">
      <w:pPr>
        <w:rPr>
          <w:lang w:val="da-DK"/>
        </w:rPr>
      </w:pPr>
      <w:r>
        <w:rPr>
          <w:lang w:val="da-DK"/>
        </w:rPr>
        <w:t>Siden er det blevet hverdag igen. Netcompany er stadig blandt de førende selskaber</w:t>
      </w:r>
      <w:r w:rsidR="003A739F">
        <w:rPr>
          <w:lang w:val="da-DK"/>
        </w:rPr>
        <w:t>,</w:t>
      </w:r>
      <w:r>
        <w:rPr>
          <w:lang w:val="da-DK"/>
        </w:rPr>
        <w:t xml:space="preserve"> som skal hjælpe med at digitalisere offentlig som privat, både i Danmark og i udvalgte europæiske lande. Kombinationen af for mange ujævne leverancer og ikke mindst de stigende renters indflydelse på prisfastsættelsen, har fået aktien til at fald</w:t>
      </w:r>
      <w:r w:rsidR="005205B6">
        <w:rPr>
          <w:lang w:val="da-DK"/>
        </w:rPr>
        <w:t>e</w:t>
      </w:r>
      <w:r>
        <w:rPr>
          <w:lang w:val="da-DK"/>
        </w:rPr>
        <w:t xml:space="preserve"> massivt.</w:t>
      </w:r>
      <w:r w:rsidR="009A221F">
        <w:rPr>
          <w:lang w:val="da-DK"/>
        </w:rPr>
        <w:t xml:space="preserve"> </w:t>
      </w:r>
    </w:p>
    <w:p w14:paraId="6930DF7E" w14:textId="0D6BCF3E" w:rsidR="0026049F" w:rsidRPr="002803EB" w:rsidRDefault="00A54963">
      <w:pPr>
        <w:rPr>
          <w:b/>
          <w:bCs/>
          <w:lang w:val="da-DK"/>
        </w:rPr>
      </w:pPr>
      <w:r>
        <w:rPr>
          <w:b/>
          <w:bCs/>
          <w:lang w:val="da-DK"/>
        </w:rPr>
        <w:t xml:space="preserve">Måske på vej ud: </w:t>
      </w:r>
      <w:r w:rsidR="0026049F" w:rsidRPr="002803EB">
        <w:rPr>
          <w:b/>
          <w:bCs/>
          <w:lang w:val="da-DK"/>
        </w:rPr>
        <w:t xml:space="preserve">FLSmidth – </w:t>
      </w:r>
      <w:r w:rsidR="005205B6">
        <w:rPr>
          <w:b/>
          <w:bCs/>
          <w:lang w:val="da-DK"/>
        </w:rPr>
        <w:t>På vej i den konsekvente retning</w:t>
      </w:r>
      <w:r w:rsidR="00341C1C">
        <w:rPr>
          <w:b/>
          <w:bCs/>
          <w:lang w:val="da-DK"/>
        </w:rPr>
        <w:t xml:space="preserve"> </w:t>
      </w:r>
    </w:p>
    <w:p w14:paraId="29784662" w14:textId="3053ECA8" w:rsidR="005205B6" w:rsidRDefault="0026049F">
      <w:pPr>
        <w:rPr>
          <w:lang w:val="da-DK"/>
        </w:rPr>
      </w:pPr>
      <w:r>
        <w:rPr>
          <w:lang w:val="da-DK"/>
        </w:rPr>
        <w:t>FLS</w:t>
      </w:r>
      <w:r w:rsidR="005205B6">
        <w:rPr>
          <w:lang w:val="da-DK"/>
        </w:rPr>
        <w:t>midth</w:t>
      </w:r>
      <w:r>
        <w:rPr>
          <w:lang w:val="da-DK"/>
        </w:rPr>
        <w:t xml:space="preserve"> har over de seneste kvartaler leveret mere konsistent. </w:t>
      </w:r>
      <w:r w:rsidR="005205B6">
        <w:rPr>
          <w:lang w:val="da-DK"/>
        </w:rPr>
        <w:t>Resultater og konsek</w:t>
      </w:r>
      <w:r>
        <w:rPr>
          <w:lang w:val="da-DK"/>
        </w:rPr>
        <w:t xml:space="preserve">vens er </w:t>
      </w:r>
      <w:r w:rsidR="005205B6">
        <w:rPr>
          <w:lang w:val="da-DK"/>
        </w:rPr>
        <w:t xml:space="preserve">kommet til at hænge mere og bedre samme under </w:t>
      </w:r>
      <w:r>
        <w:rPr>
          <w:lang w:val="da-DK"/>
        </w:rPr>
        <w:t xml:space="preserve">den nye ledelse. Hvis resultaterne ikke er gode nok, bliver der handlet. </w:t>
      </w:r>
      <w:r w:rsidR="005205B6">
        <w:rPr>
          <w:lang w:val="da-DK"/>
        </w:rPr>
        <w:t>Set fra et inve</w:t>
      </w:r>
      <w:r w:rsidR="003A739F">
        <w:rPr>
          <w:lang w:val="da-DK"/>
        </w:rPr>
        <w:t>s</w:t>
      </w:r>
      <w:r w:rsidR="005205B6">
        <w:rPr>
          <w:lang w:val="da-DK"/>
        </w:rPr>
        <w:t>torperspektiv, er det</w:t>
      </w:r>
      <w:r>
        <w:rPr>
          <w:lang w:val="da-DK"/>
        </w:rPr>
        <w:t xml:space="preserve"> godt og positivt. 75/25 mix mellem mining/cement er omsætningsfordelingen, og det kan investorerne godt lide. </w:t>
      </w:r>
    </w:p>
    <w:p w14:paraId="74C4CB36" w14:textId="4A719394" w:rsidR="0026049F" w:rsidRDefault="0026049F">
      <w:pPr>
        <w:rPr>
          <w:lang w:val="da-DK"/>
        </w:rPr>
      </w:pPr>
      <w:r>
        <w:rPr>
          <w:lang w:val="da-DK"/>
        </w:rPr>
        <w:t xml:space="preserve">Set i forhold til, at selskaber forsøger at gøre det rigtige, er det naturligvis ikke en positiv nyhed, hvis der ikke skulle blive plads til FLS i det fortsættende </w:t>
      </w:r>
      <w:r w:rsidR="005205B6">
        <w:rPr>
          <w:lang w:val="da-DK"/>
        </w:rPr>
        <w:t>OMX-C25</w:t>
      </w:r>
      <w:r>
        <w:rPr>
          <w:lang w:val="da-DK"/>
        </w:rPr>
        <w:t xml:space="preserve">. </w:t>
      </w:r>
    </w:p>
    <w:p w14:paraId="57652A9B" w14:textId="75579724" w:rsidR="0026049F" w:rsidRPr="002803EB" w:rsidRDefault="0026049F">
      <w:pPr>
        <w:rPr>
          <w:b/>
          <w:bCs/>
          <w:lang w:val="da-DK"/>
        </w:rPr>
      </w:pPr>
      <w:r w:rsidRPr="002803EB">
        <w:rPr>
          <w:b/>
          <w:bCs/>
          <w:lang w:val="da-DK"/>
        </w:rPr>
        <w:t>Royal Unibrew – Det tynde C25 øl</w:t>
      </w:r>
    </w:p>
    <w:p w14:paraId="65C409A8" w14:textId="0DF118F8" w:rsidR="0026049F" w:rsidRDefault="0026049F">
      <w:pPr>
        <w:rPr>
          <w:lang w:val="da-DK"/>
        </w:rPr>
      </w:pPr>
      <w:r>
        <w:rPr>
          <w:lang w:val="da-DK"/>
        </w:rPr>
        <w:t>Vores beregninger</w:t>
      </w:r>
      <w:r w:rsidR="005205B6">
        <w:rPr>
          <w:lang w:val="da-DK"/>
        </w:rPr>
        <w:t>,</w:t>
      </w:r>
      <w:r>
        <w:rPr>
          <w:lang w:val="da-DK"/>
        </w:rPr>
        <w:t xml:space="preserve"> med udgangspunkt i data</w:t>
      </w:r>
      <w:r w:rsidR="00703DE0">
        <w:rPr>
          <w:lang w:val="da-DK"/>
        </w:rPr>
        <w:t xml:space="preserve"> per fredag den 17/11, </w:t>
      </w:r>
      <w:r w:rsidR="005205B6">
        <w:rPr>
          <w:lang w:val="da-DK"/>
        </w:rPr>
        <w:t xml:space="preserve">viser </w:t>
      </w:r>
      <w:r w:rsidR="00703DE0">
        <w:rPr>
          <w:lang w:val="da-DK"/>
        </w:rPr>
        <w:t>at Royal Unibrew stadig klare</w:t>
      </w:r>
      <w:r w:rsidR="005205B6">
        <w:rPr>
          <w:lang w:val="da-DK"/>
        </w:rPr>
        <w:t xml:space="preserve">r </w:t>
      </w:r>
      <w:r w:rsidR="00703DE0">
        <w:rPr>
          <w:lang w:val="da-DK"/>
        </w:rPr>
        <w:t>at forblive i indekset. De ligger dog på e</w:t>
      </w:r>
      <w:r w:rsidR="003A739F">
        <w:rPr>
          <w:lang w:val="da-DK"/>
        </w:rPr>
        <w:t>t yderligere placering.</w:t>
      </w:r>
      <w:r w:rsidR="00703DE0">
        <w:rPr>
          <w:lang w:val="da-DK"/>
        </w:rPr>
        <w:t xml:space="preserve"> Royal Unibrew var også blandt de selskaber, som fik sig en anmærkning med hjem i karakterbogen.</w:t>
      </w:r>
    </w:p>
    <w:p w14:paraId="4539F562" w14:textId="7279F53A" w:rsidR="008568DC" w:rsidRPr="008568DC" w:rsidRDefault="008568DC">
      <w:pPr>
        <w:rPr>
          <w:b/>
          <w:bCs/>
          <w:lang w:val="da-DK"/>
        </w:rPr>
      </w:pPr>
      <w:r w:rsidRPr="008568DC">
        <w:rPr>
          <w:b/>
          <w:bCs/>
          <w:lang w:val="da-DK"/>
        </w:rPr>
        <w:t>Novozymes/Chr. Hansen fusion</w:t>
      </w:r>
      <w:r w:rsidR="00FE4898">
        <w:rPr>
          <w:b/>
          <w:bCs/>
          <w:lang w:val="da-DK"/>
        </w:rPr>
        <w:t xml:space="preserve"> frigør 1 plads</w:t>
      </w:r>
    </w:p>
    <w:p w14:paraId="678D3945" w14:textId="20803B21" w:rsidR="008568DC" w:rsidRDefault="008568DC">
      <w:pPr>
        <w:rPr>
          <w:lang w:val="da-DK"/>
        </w:rPr>
      </w:pPr>
      <w:r>
        <w:rPr>
          <w:lang w:val="da-DK"/>
        </w:rPr>
        <w:t xml:space="preserve">Novozymes og Chr. Hansen smelter sammen, når alle relevante myndighedsgodkendelser foreligger. Den senest foreliggende information er, at de nødvendige godkendelser forventes at </w:t>
      </w:r>
      <w:r>
        <w:rPr>
          <w:lang w:val="da-DK"/>
        </w:rPr>
        <w:lastRenderedPageBreak/>
        <w:t>foreligge i 4. kvartal 2023 eller 1. kvartal 2024. Herefter bliver det fortsættende selskab, Novozymes</w:t>
      </w:r>
      <w:r w:rsidR="00FE4898">
        <w:rPr>
          <w:lang w:val="da-DK"/>
        </w:rPr>
        <w:t>,</w:t>
      </w:r>
      <w:r>
        <w:rPr>
          <w:lang w:val="da-DK"/>
        </w:rPr>
        <w:t xml:space="preserve"> og Chr. Hansen udtræder </w:t>
      </w:r>
      <w:proofErr w:type="gramStart"/>
      <w:r>
        <w:rPr>
          <w:lang w:val="da-DK"/>
        </w:rPr>
        <w:t>følgelig</w:t>
      </w:r>
      <w:proofErr w:type="gramEnd"/>
      <w:r>
        <w:rPr>
          <w:lang w:val="da-DK"/>
        </w:rPr>
        <w:t xml:space="preserve"> af indekset, hvor Novozymes får en større indeksvægtning. </w:t>
      </w:r>
    </w:p>
    <w:p w14:paraId="5E2398BB" w14:textId="293D2D3D" w:rsidR="00FE4898" w:rsidRPr="00A54963" w:rsidRDefault="00FE4898">
      <w:pPr>
        <w:rPr>
          <w:b/>
          <w:bCs/>
          <w:lang w:val="da-DK"/>
        </w:rPr>
      </w:pPr>
      <w:r w:rsidRPr="00A54963">
        <w:rPr>
          <w:b/>
          <w:bCs/>
          <w:lang w:val="da-DK"/>
        </w:rPr>
        <w:t>Gør Netcompanys omsætningsslutspurt forskellen?</w:t>
      </w:r>
    </w:p>
    <w:p w14:paraId="097A27AD" w14:textId="21825343" w:rsidR="008568DC" w:rsidRDefault="008568DC">
      <w:pPr>
        <w:rPr>
          <w:lang w:val="da-DK"/>
        </w:rPr>
      </w:pPr>
      <w:r>
        <w:rPr>
          <w:lang w:val="da-DK"/>
        </w:rPr>
        <w:t xml:space="preserve">Timingen er usikker. Hvis fusionen kører på plads i løbet af 1. kvartal, bliver det nye OMX C25 indeks som skitseret. Efter godkendelsen og i forbindelse med ophør af Chr. Hansen som selvstændigt børsnoteret selskab, bliver der 1 plads ledig. Den vil så formentlig gå enten til FLSmidth eller Netcompany. Som det fremgår af nedenstående figur </w:t>
      </w:r>
      <w:r w:rsidR="00EC2011">
        <w:rPr>
          <w:lang w:val="da-DK"/>
        </w:rPr>
        <w:t>8</w:t>
      </w:r>
      <w:r w:rsidR="00FE4898">
        <w:rPr>
          <w:lang w:val="da-DK"/>
        </w:rPr>
        <w:t xml:space="preserve"> (yderste kolonne)</w:t>
      </w:r>
      <w:r>
        <w:rPr>
          <w:lang w:val="da-DK"/>
        </w:rPr>
        <w:t>, er det stadig et helt åbent spørgsmål om det bliver det ene eller andet selskab. Netcompany kommer med det bedste ”omsætningsmomentum”, men de kommende 9 dage vil være afgørende.</w:t>
      </w:r>
      <w:r w:rsidR="00FE4898">
        <w:rPr>
          <w:lang w:val="da-DK"/>
        </w:rPr>
        <w:t xml:space="preserve"> </w:t>
      </w:r>
    </w:p>
    <w:p w14:paraId="1440437A" w14:textId="77777777" w:rsidR="00DC6255" w:rsidRDefault="00DC6255">
      <w:pPr>
        <w:rPr>
          <w:b/>
          <w:bCs/>
          <w:lang w:val="da-DK"/>
        </w:rPr>
      </w:pPr>
      <w:r w:rsidRPr="00DC6255">
        <w:rPr>
          <w:b/>
          <w:bCs/>
          <w:lang w:val="da-DK"/>
        </w:rPr>
        <w:t>Op-eller nedrykning er billedet på hvad der ER sket</w:t>
      </w:r>
    </w:p>
    <w:p w14:paraId="678E0042" w14:textId="4C14FDD1" w:rsidR="00DC6255" w:rsidRDefault="00DC6255">
      <w:pPr>
        <w:rPr>
          <w:lang w:val="da-DK"/>
        </w:rPr>
      </w:pPr>
      <w:r>
        <w:rPr>
          <w:lang w:val="da-DK"/>
        </w:rPr>
        <w:t xml:space="preserve">Selskaber som kommer med i </w:t>
      </w:r>
      <w:proofErr w:type="gramStart"/>
      <w:r>
        <w:rPr>
          <w:lang w:val="da-DK"/>
        </w:rPr>
        <w:t>indekset</w:t>
      </w:r>
      <w:proofErr w:type="gramEnd"/>
      <w:r>
        <w:rPr>
          <w:lang w:val="da-DK"/>
        </w:rPr>
        <w:t xml:space="preserve"> er glade. Det skyldes ikke kun glæden over at få lov til at vise </w:t>
      </w:r>
      <w:r w:rsidR="003A739F">
        <w:rPr>
          <w:lang w:val="da-DK"/>
        </w:rPr>
        <w:t>deres</w:t>
      </w:r>
      <w:r>
        <w:rPr>
          <w:lang w:val="da-DK"/>
        </w:rPr>
        <w:t xml:space="preserve"> firmalogo frem i verden</w:t>
      </w:r>
      <w:r w:rsidR="003C0863">
        <w:rPr>
          <w:lang w:val="da-DK"/>
        </w:rPr>
        <w:t xml:space="preserve"> blandt toneangivende investorer. Det skyldes i meget stort omfang også at selskaberne i refe</w:t>
      </w:r>
      <w:r w:rsidR="002803EB">
        <w:rPr>
          <w:lang w:val="da-DK"/>
        </w:rPr>
        <w:t>re</w:t>
      </w:r>
      <w:r w:rsidR="003C0863">
        <w:rPr>
          <w:lang w:val="da-DK"/>
        </w:rPr>
        <w:t xml:space="preserve">nceperioden har gjort </w:t>
      </w:r>
      <w:r w:rsidR="002F11B8">
        <w:rPr>
          <w:lang w:val="da-DK"/>
        </w:rPr>
        <w:t xml:space="preserve">sig </w:t>
      </w:r>
      <w:r w:rsidR="003C0863">
        <w:rPr>
          <w:lang w:val="da-DK"/>
        </w:rPr>
        <w:t>fortjente til det.</w:t>
      </w:r>
    </w:p>
    <w:p w14:paraId="695AAB75" w14:textId="2A8FFF88" w:rsidR="003C0863" w:rsidRPr="003C0863" w:rsidRDefault="003C0863">
      <w:pPr>
        <w:rPr>
          <w:b/>
          <w:bCs/>
          <w:lang w:val="da-DK"/>
        </w:rPr>
      </w:pPr>
      <w:r w:rsidRPr="003C0863">
        <w:rPr>
          <w:b/>
          <w:bCs/>
          <w:lang w:val="da-DK"/>
        </w:rPr>
        <w:t>Heldet følger de bedste</w:t>
      </w:r>
      <w:r w:rsidR="002F11B8">
        <w:rPr>
          <w:b/>
          <w:bCs/>
          <w:lang w:val="da-DK"/>
        </w:rPr>
        <w:t>, heldigvis</w:t>
      </w:r>
    </w:p>
    <w:p w14:paraId="5ACFAB47" w14:textId="403371DF" w:rsidR="003C0863" w:rsidRPr="00DC6255" w:rsidRDefault="003C0863">
      <w:pPr>
        <w:rPr>
          <w:lang w:val="da-DK"/>
        </w:rPr>
      </w:pPr>
      <w:r>
        <w:rPr>
          <w:lang w:val="da-DK"/>
        </w:rPr>
        <w:t xml:space="preserve">Det er som med en topplacering i sport. Heldet følger de bedste. De som har haft den gode udvikling, og det som har bragt dem i det gode selskab. </w:t>
      </w:r>
      <w:r w:rsidR="003A739F">
        <w:rPr>
          <w:lang w:val="da-DK"/>
        </w:rPr>
        <w:t xml:space="preserve">Konstante præstationer. </w:t>
      </w:r>
      <w:r>
        <w:rPr>
          <w:lang w:val="da-DK"/>
        </w:rPr>
        <w:t xml:space="preserve">På samme måde er det ikke den tabte sidste kamp, der gør at nogen rykker ud af superligaen, men det for lave bundniveau og de svigtende resultater i </w:t>
      </w:r>
      <w:r w:rsidR="002F11B8">
        <w:rPr>
          <w:lang w:val="da-DK"/>
        </w:rPr>
        <w:t xml:space="preserve">for mange </w:t>
      </w:r>
      <w:r>
        <w:rPr>
          <w:lang w:val="da-DK"/>
        </w:rPr>
        <w:t>tilfælde, som karakteriserer nedrykkerne</w:t>
      </w:r>
      <w:r w:rsidR="003A739F">
        <w:rPr>
          <w:lang w:val="da-DK"/>
        </w:rPr>
        <w:t>. I det gennemsnitlige, men naturligvis ikke i alle tilfælde.</w:t>
      </w:r>
      <w:r>
        <w:rPr>
          <w:lang w:val="da-DK"/>
        </w:rPr>
        <w:t xml:space="preserve"> Heldet </w:t>
      </w:r>
      <w:r w:rsidR="003A739F">
        <w:rPr>
          <w:lang w:val="da-DK"/>
        </w:rPr>
        <w:t xml:space="preserve">tilsmiler i reglen </w:t>
      </w:r>
      <w:r>
        <w:rPr>
          <w:lang w:val="da-DK"/>
        </w:rPr>
        <w:t>dem</w:t>
      </w:r>
      <w:r w:rsidR="003A739F">
        <w:rPr>
          <w:lang w:val="da-DK"/>
        </w:rPr>
        <w:t>,</w:t>
      </w:r>
      <w:r>
        <w:rPr>
          <w:lang w:val="da-DK"/>
        </w:rPr>
        <w:t xml:space="preserve"> som opsøger</w:t>
      </w:r>
      <w:r w:rsidR="003A739F">
        <w:rPr>
          <w:lang w:val="da-DK"/>
        </w:rPr>
        <w:t xml:space="preserve"> det.</w:t>
      </w:r>
      <w:r>
        <w:rPr>
          <w:lang w:val="da-DK"/>
        </w:rPr>
        <w:t xml:space="preserve"> Heldigvis.</w:t>
      </w:r>
    </w:p>
    <w:p w14:paraId="4D46ABEC" w14:textId="39F1CFDA" w:rsidR="00703DE0" w:rsidRPr="002803EB" w:rsidRDefault="00402821">
      <w:pPr>
        <w:rPr>
          <w:b/>
          <w:bCs/>
          <w:lang w:val="da-DK"/>
        </w:rPr>
      </w:pPr>
      <w:r w:rsidRPr="002803EB">
        <w:rPr>
          <w:b/>
          <w:bCs/>
          <w:lang w:val="da-DK"/>
        </w:rPr>
        <w:t>C25 medlemskab er ingen mirake</w:t>
      </w:r>
      <w:r w:rsidR="002B0DBC">
        <w:rPr>
          <w:b/>
          <w:bCs/>
          <w:lang w:val="da-DK"/>
        </w:rPr>
        <w:t>kur</w:t>
      </w:r>
    </w:p>
    <w:p w14:paraId="46D20375" w14:textId="10A44D95" w:rsidR="00402821" w:rsidRDefault="00402821">
      <w:pPr>
        <w:rPr>
          <w:lang w:val="da-DK"/>
        </w:rPr>
      </w:pPr>
      <w:r>
        <w:rPr>
          <w:lang w:val="da-DK"/>
        </w:rPr>
        <w:t>Der er stor spænding</w:t>
      </w:r>
      <w:r w:rsidR="003A739F">
        <w:rPr>
          <w:lang w:val="da-DK"/>
        </w:rPr>
        <w:t>,</w:t>
      </w:r>
      <w:r>
        <w:rPr>
          <w:lang w:val="da-DK"/>
        </w:rPr>
        <w:t xml:space="preserve"> når et selskab kommer ind i et toneangivende indeks. En indlemmelse kan have en positiv kortsigtet effekt på aktiekursen. En glædelig begivenhed, som kan komme overraskende.</w:t>
      </w:r>
    </w:p>
    <w:p w14:paraId="7968C2E5" w14:textId="231DF6A0" w:rsidR="00402821" w:rsidRDefault="00402821">
      <w:pPr>
        <w:rPr>
          <w:lang w:val="da-DK"/>
        </w:rPr>
      </w:pPr>
      <w:r>
        <w:rPr>
          <w:lang w:val="da-DK"/>
        </w:rPr>
        <w:t>In</w:t>
      </w:r>
      <w:r w:rsidR="002F11B8">
        <w:rPr>
          <w:lang w:val="da-DK"/>
        </w:rPr>
        <w:t>genting</w:t>
      </w:r>
      <w:r>
        <w:rPr>
          <w:lang w:val="da-DK"/>
        </w:rPr>
        <w:t xml:space="preserve"> kommer </w:t>
      </w:r>
      <w:r w:rsidR="002F11B8">
        <w:rPr>
          <w:lang w:val="da-DK"/>
        </w:rPr>
        <w:t xml:space="preserve">som bekendt </w:t>
      </w:r>
      <w:r>
        <w:rPr>
          <w:lang w:val="da-DK"/>
        </w:rPr>
        <w:t xml:space="preserve">af ingenting undtagen lommeuld. Det er ikke </w:t>
      </w:r>
      <w:r w:rsidR="002F11B8">
        <w:rPr>
          <w:lang w:val="da-DK"/>
        </w:rPr>
        <w:t xml:space="preserve">indeksmæssigt </w:t>
      </w:r>
      <w:r>
        <w:rPr>
          <w:lang w:val="da-DK"/>
        </w:rPr>
        <w:t xml:space="preserve">ind- og ud, som langsigtet gør forskellen for investorerne. </w:t>
      </w:r>
      <w:r w:rsidR="002B0DBC">
        <w:rPr>
          <w:lang w:val="da-DK"/>
        </w:rPr>
        <w:t xml:space="preserve">Du skal som investor </w:t>
      </w:r>
      <w:r w:rsidR="002F11B8">
        <w:rPr>
          <w:lang w:val="da-DK"/>
        </w:rPr>
        <w:t xml:space="preserve">ikke efter en indeksindlemmelse </w:t>
      </w:r>
      <w:r w:rsidR="002B0DBC">
        <w:rPr>
          <w:lang w:val="da-DK"/>
        </w:rPr>
        <w:t xml:space="preserve">forvente et </w:t>
      </w:r>
      <w:r>
        <w:rPr>
          <w:lang w:val="da-DK"/>
        </w:rPr>
        <w:t xml:space="preserve">kursmirakel </w:t>
      </w:r>
      <w:r w:rsidR="002B0DBC">
        <w:rPr>
          <w:lang w:val="da-DK"/>
        </w:rPr>
        <w:t xml:space="preserve">ved ukritisk at </w:t>
      </w:r>
      <w:r>
        <w:rPr>
          <w:lang w:val="da-DK"/>
        </w:rPr>
        <w:t xml:space="preserve">købe </w:t>
      </w:r>
      <w:r w:rsidR="002B0DBC">
        <w:rPr>
          <w:lang w:val="da-DK"/>
        </w:rPr>
        <w:t xml:space="preserve">ind i </w:t>
      </w:r>
      <w:r>
        <w:rPr>
          <w:lang w:val="da-DK"/>
        </w:rPr>
        <w:t xml:space="preserve">selskaber, som </w:t>
      </w:r>
      <w:r w:rsidR="002B0DBC">
        <w:rPr>
          <w:lang w:val="da-DK"/>
        </w:rPr>
        <w:t xml:space="preserve">kommer med i et indeks. </w:t>
      </w:r>
      <w:r>
        <w:rPr>
          <w:lang w:val="da-DK"/>
        </w:rPr>
        <w:t>Det er ikke teknikaliteten, men gørelsen; den underliggende udvikling, som langsigtet gør forskellen.</w:t>
      </w:r>
    </w:p>
    <w:p w14:paraId="2EB40918" w14:textId="4BCDAB32" w:rsidR="002B0DBC" w:rsidRDefault="002B0DBC">
      <w:pPr>
        <w:rPr>
          <w:b/>
          <w:bCs/>
          <w:lang w:val="da-DK"/>
        </w:rPr>
      </w:pPr>
      <w:r>
        <w:rPr>
          <w:b/>
          <w:bCs/>
          <w:lang w:val="da-DK"/>
        </w:rPr>
        <w:t>Nedrykning viser skuffende historisk udvikling</w:t>
      </w:r>
    </w:p>
    <w:p w14:paraId="662CFF31" w14:textId="02824330" w:rsidR="002B0DBC" w:rsidRPr="002B0DBC" w:rsidRDefault="002B0DBC">
      <w:pPr>
        <w:rPr>
          <w:lang w:val="da-DK"/>
        </w:rPr>
      </w:pPr>
      <w:r>
        <w:rPr>
          <w:lang w:val="da-DK"/>
        </w:rPr>
        <w:t xml:space="preserve">Når et selskab ryger ud, </w:t>
      </w:r>
      <w:r w:rsidR="002F11B8">
        <w:rPr>
          <w:lang w:val="da-DK"/>
        </w:rPr>
        <w:t xml:space="preserve">kan det være </w:t>
      </w:r>
      <w:r>
        <w:rPr>
          <w:lang w:val="da-DK"/>
        </w:rPr>
        <w:t>kulminationen på en skuffende udvikling. Investorerne er formentlig en eller flere gange blevet ”gjort opmærksom</w:t>
      </w:r>
      <w:r w:rsidR="002F11B8">
        <w:rPr>
          <w:lang w:val="da-DK"/>
        </w:rPr>
        <w:t>me</w:t>
      </w:r>
      <w:r>
        <w:rPr>
          <w:lang w:val="da-DK"/>
        </w:rPr>
        <w:t xml:space="preserve"> på” og har på eg</w:t>
      </w:r>
      <w:r w:rsidR="002F11B8">
        <w:rPr>
          <w:lang w:val="da-DK"/>
        </w:rPr>
        <w:t>en</w:t>
      </w:r>
      <w:r>
        <w:rPr>
          <w:lang w:val="da-DK"/>
        </w:rPr>
        <w:t xml:space="preserve"> portefølje mærket, at selskabet har underpræsteret. Nedrykningen er kulminationen på den skuffende udvikling, og er ikke og bør ikke være en sensation for investoren.</w:t>
      </w:r>
    </w:p>
    <w:p w14:paraId="50886B89" w14:textId="1383355D" w:rsidR="00402821" w:rsidRPr="002803EB" w:rsidRDefault="00402821">
      <w:pPr>
        <w:rPr>
          <w:b/>
          <w:bCs/>
          <w:lang w:val="da-DK"/>
        </w:rPr>
      </w:pPr>
      <w:r w:rsidRPr="002803EB">
        <w:rPr>
          <w:b/>
          <w:bCs/>
          <w:lang w:val="da-DK"/>
        </w:rPr>
        <w:t>Eventstudie understøtter tesen</w:t>
      </w:r>
    </w:p>
    <w:p w14:paraId="25B0D245" w14:textId="1C898182" w:rsidR="00402821" w:rsidRPr="002F11B8" w:rsidRDefault="00402821" w:rsidP="002F11B8">
      <w:pPr>
        <w:rPr>
          <w:lang w:val="da-DK"/>
        </w:rPr>
      </w:pPr>
      <w:r w:rsidRPr="002F11B8">
        <w:rPr>
          <w:lang w:val="da-DK"/>
        </w:rPr>
        <w:t>Vi har forsøgt at beregne effekten af at komme ind og ud af et indeks på kursen, og her er nogle dataobservationer, som vores beregninger viser:</w:t>
      </w:r>
    </w:p>
    <w:p w14:paraId="6ACB286F" w14:textId="3DC6282A" w:rsidR="00402821" w:rsidRPr="002F11B8" w:rsidRDefault="00402821" w:rsidP="002F11B8">
      <w:pPr>
        <w:pStyle w:val="ListParagraph"/>
        <w:numPr>
          <w:ilvl w:val="0"/>
          <w:numId w:val="2"/>
        </w:numPr>
        <w:rPr>
          <w:lang w:val="da-DK"/>
        </w:rPr>
      </w:pPr>
      <w:r w:rsidRPr="002F11B8">
        <w:rPr>
          <w:lang w:val="da-DK"/>
        </w:rPr>
        <w:t>Vi har for selskaber, som kommer ind og ud forsøgt at se tilbage og frem</w:t>
      </w:r>
      <w:r w:rsidR="002F11B8" w:rsidRPr="002F11B8">
        <w:rPr>
          <w:lang w:val="da-DK"/>
        </w:rPr>
        <w:t xml:space="preserve"> i den umiddelbare fortid og tiden efter.</w:t>
      </w:r>
    </w:p>
    <w:p w14:paraId="195B1571" w14:textId="3842879C" w:rsidR="00402821" w:rsidRPr="002F11B8" w:rsidRDefault="00402821" w:rsidP="002F11B8">
      <w:pPr>
        <w:pStyle w:val="ListParagraph"/>
        <w:numPr>
          <w:ilvl w:val="0"/>
          <w:numId w:val="2"/>
        </w:numPr>
        <w:rPr>
          <w:lang w:val="da-DK"/>
        </w:rPr>
      </w:pPr>
      <w:r w:rsidRPr="002F11B8">
        <w:rPr>
          <w:lang w:val="da-DK"/>
        </w:rPr>
        <w:lastRenderedPageBreak/>
        <w:t>Hvordan har selskabernes aktiekurser udviklet sig relativt til sit benchmark for at se om der er en glædes-/skuffelseseffekt alene i forhold til benchmark.</w:t>
      </w:r>
    </w:p>
    <w:p w14:paraId="5B25A040" w14:textId="3612D24D" w:rsidR="00402821" w:rsidRPr="002F11B8" w:rsidRDefault="00402821" w:rsidP="002F11B8">
      <w:pPr>
        <w:pStyle w:val="ListParagraph"/>
        <w:numPr>
          <w:ilvl w:val="0"/>
          <w:numId w:val="2"/>
        </w:numPr>
        <w:rPr>
          <w:lang w:val="da-DK"/>
        </w:rPr>
      </w:pPr>
      <w:r w:rsidRPr="002F11B8">
        <w:rPr>
          <w:lang w:val="da-DK"/>
        </w:rPr>
        <w:t>Beregningen er ikke med udgangspunkt i</w:t>
      </w:r>
      <w:r w:rsidR="00237692" w:rsidRPr="002F11B8">
        <w:rPr>
          <w:lang w:val="da-DK"/>
        </w:rPr>
        <w:t xml:space="preserve"> selskabets egen historik og forventet afkast og heller ikke med sin egen peergruppe (</w:t>
      </w:r>
      <w:proofErr w:type="gramStart"/>
      <w:r w:rsidR="00237692" w:rsidRPr="002F11B8">
        <w:rPr>
          <w:lang w:val="da-DK"/>
        </w:rPr>
        <w:t>eksempelvis</w:t>
      </w:r>
      <w:proofErr w:type="gramEnd"/>
      <w:r w:rsidR="00237692" w:rsidRPr="002F11B8">
        <w:rPr>
          <w:lang w:val="da-DK"/>
        </w:rPr>
        <w:t xml:space="preserve"> A.P. Møller Mærsk med andre containerrederier), m</w:t>
      </w:r>
      <w:r w:rsidR="002F11B8" w:rsidRPr="002F11B8">
        <w:rPr>
          <w:lang w:val="da-DK"/>
        </w:rPr>
        <w:t>en udviklingen er udelukkende målt imod andre OMX-</w:t>
      </w:r>
      <w:r w:rsidR="00237692" w:rsidRPr="002F11B8">
        <w:rPr>
          <w:lang w:val="da-DK"/>
        </w:rPr>
        <w:t>C25</w:t>
      </w:r>
      <w:r w:rsidR="002F11B8" w:rsidRPr="002F11B8">
        <w:rPr>
          <w:lang w:val="da-DK"/>
        </w:rPr>
        <w:t xml:space="preserve"> selskaber.</w:t>
      </w:r>
    </w:p>
    <w:p w14:paraId="3D31EA73" w14:textId="5AFF8976" w:rsidR="00AD5856" w:rsidRPr="00AD5856" w:rsidRDefault="00AD5856">
      <w:pPr>
        <w:rPr>
          <w:b/>
          <w:bCs/>
          <w:lang w:val="da-DK"/>
        </w:rPr>
      </w:pPr>
      <w:r w:rsidRPr="00AD5856">
        <w:rPr>
          <w:b/>
          <w:bCs/>
          <w:lang w:val="da-DK"/>
        </w:rPr>
        <w:t>Kortsigtet ”overraskelses”effekt</w:t>
      </w:r>
    </w:p>
    <w:p w14:paraId="33E51539" w14:textId="40699076" w:rsidR="00237692" w:rsidRDefault="00237692">
      <w:pPr>
        <w:rPr>
          <w:lang w:val="da-DK"/>
        </w:rPr>
      </w:pPr>
      <w:r>
        <w:rPr>
          <w:lang w:val="da-DK"/>
        </w:rPr>
        <w:t>Beregninger viser,</w:t>
      </w:r>
      <w:r w:rsidR="00AD5856">
        <w:rPr>
          <w:lang w:val="da-DK"/>
        </w:rPr>
        <w:t xml:space="preserve"> at</w:t>
      </w:r>
    </w:p>
    <w:p w14:paraId="05FCA7A4" w14:textId="5E1303C4" w:rsidR="00237692" w:rsidRPr="002B0DBC" w:rsidRDefault="00237692" w:rsidP="002B0DBC">
      <w:pPr>
        <w:pStyle w:val="ListParagraph"/>
        <w:numPr>
          <w:ilvl w:val="0"/>
          <w:numId w:val="1"/>
        </w:numPr>
        <w:rPr>
          <w:lang w:val="da-DK"/>
        </w:rPr>
      </w:pPr>
      <w:r w:rsidRPr="002B0DBC">
        <w:rPr>
          <w:lang w:val="da-DK"/>
        </w:rPr>
        <w:t>Der kan være en kortsigtet positiv og overraskende effekt, når selskaber kommer ind</w:t>
      </w:r>
    </w:p>
    <w:p w14:paraId="6178423C" w14:textId="0A41113E" w:rsidR="00237692" w:rsidRDefault="00237692" w:rsidP="002B0DBC">
      <w:pPr>
        <w:pStyle w:val="ListParagraph"/>
        <w:numPr>
          <w:ilvl w:val="0"/>
          <w:numId w:val="1"/>
        </w:numPr>
        <w:rPr>
          <w:lang w:val="da-DK"/>
        </w:rPr>
      </w:pPr>
      <w:r w:rsidRPr="002B0DBC">
        <w:rPr>
          <w:lang w:val="da-DK"/>
        </w:rPr>
        <w:t>Der kan være en skuffelsens effekt, når et selskab ryger ud</w:t>
      </w:r>
      <w:r w:rsidR="003A739F">
        <w:rPr>
          <w:lang w:val="da-DK"/>
        </w:rPr>
        <w:t>.</w:t>
      </w:r>
    </w:p>
    <w:p w14:paraId="5F5459E5" w14:textId="54278B86" w:rsidR="00FE4EF9" w:rsidRPr="002B0DBC" w:rsidRDefault="001C6CD8" w:rsidP="002B0DBC">
      <w:pPr>
        <w:pStyle w:val="ListParagraph"/>
        <w:numPr>
          <w:ilvl w:val="0"/>
          <w:numId w:val="1"/>
        </w:numPr>
        <w:rPr>
          <w:lang w:val="da-DK"/>
        </w:rPr>
      </w:pPr>
      <w:r>
        <w:rPr>
          <w:lang w:val="da-DK"/>
        </w:rPr>
        <w:t>Kursr</w:t>
      </w:r>
      <w:r w:rsidR="00FE4EF9">
        <w:rPr>
          <w:lang w:val="da-DK"/>
        </w:rPr>
        <w:t>eaktionen kommer f</w:t>
      </w:r>
      <w:r>
        <w:rPr>
          <w:lang w:val="da-DK"/>
        </w:rPr>
        <w:t>ør</w:t>
      </w:r>
      <w:r w:rsidR="00FE4EF9">
        <w:rPr>
          <w:lang w:val="da-DK"/>
        </w:rPr>
        <w:t xml:space="preserve"> ændringer </w:t>
      </w:r>
      <w:proofErr w:type="gramStart"/>
      <w:r w:rsidR="00FE4EF9">
        <w:rPr>
          <w:lang w:val="da-DK"/>
        </w:rPr>
        <w:t>f</w:t>
      </w:r>
      <w:r>
        <w:rPr>
          <w:lang w:val="da-DK"/>
        </w:rPr>
        <w:t>å</w:t>
      </w:r>
      <w:r w:rsidR="00FE4EF9">
        <w:rPr>
          <w:lang w:val="da-DK"/>
        </w:rPr>
        <w:t>r</w:t>
      </w:r>
      <w:proofErr w:type="gramEnd"/>
      <w:r w:rsidR="00FE4EF9">
        <w:rPr>
          <w:lang w:val="da-DK"/>
        </w:rPr>
        <w:t xml:space="preserve"> effekt. Det skyldes både at indeksinvestorer</w:t>
      </w:r>
      <w:r>
        <w:rPr>
          <w:lang w:val="da-DK"/>
        </w:rPr>
        <w:t xml:space="preserve"> formentlig</w:t>
      </w:r>
      <w:r w:rsidR="00FE4EF9">
        <w:rPr>
          <w:lang w:val="da-DK"/>
        </w:rPr>
        <w:t xml:space="preserve"> regner på effekten før det bliver officielt, men formentlig også at indeksinvestorer er hurtige til at tilpasse sig</w:t>
      </w:r>
      <w:r>
        <w:rPr>
          <w:lang w:val="da-DK"/>
        </w:rPr>
        <w:t>, så snart den er offenltiggjort</w:t>
      </w:r>
      <w:r w:rsidR="00FE4EF9">
        <w:rPr>
          <w:lang w:val="da-DK"/>
        </w:rPr>
        <w:t>.</w:t>
      </w:r>
    </w:p>
    <w:p w14:paraId="4E0235C9" w14:textId="0C206B0D" w:rsidR="00237692" w:rsidRPr="002B0DBC" w:rsidRDefault="00237692" w:rsidP="002B0DBC">
      <w:pPr>
        <w:pStyle w:val="ListParagraph"/>
        <w:numPr>
          <w:ilvl w:val="0"/>
          <w:numId w:val="1"/>
        </w:numPr>
        <w:rPr>
          <w:lang w:val="da-DK"/>
        </w:rPr>
      </w:pPr>
      <w:r w:rsidRPr="002B0DBC">
        <w:rPr>
          <w:lang w:val="da-DK"/>
        </w:rPr>
        <w:t>Hvis den positiv</w:t>
      </w:r>
      <w:r w:rsidR="001C6CD8">
        <w:rPr>
          <w:lang w:val="da-DK"/>
        </w:rPr>
        <w:t>e</w:t>
      </w:r>
      <w:r w:rsidRPr="002B0DBC">
        <w:rPr>
          <w:lang w:val="da-DK"/>
        </w:rPr>
        <w:t xml:space="preserve"> effekt skal vare ved i en meget lang periode, kræver det at selskabet løbende </w:t>
      </w:r>
      <w:r w:rsidR="002F11B8">
        <w:rPr>
          <w:lang w:val="da-DK"/>
        </w:rPr>
        <w:t xml:space="preserve">og efterfølgende </w:t>
      </w:r>
      <w:r w:rsidRPr="002B0DBC">
        <w:rPr>
          <w:lang w:val="da-DK"/>
        </w:rPr>
        <w:t xml:space="preserve">udvikler sig godt. Langsigtet er der altså ikke en betydelig </w:t>
      </w:r>
      <w:r w:rsidR="003A739F">
        <w:rPr>
          <w:lang w:val="da-DK"/>
        </w:rPr>
        <w:t xml:space="preserve">positiv </w:t>
      </w:r>
      <w:r w:rsidRPr="002B0DBC">
        <w:rPr>
          <w:lang w:val="da-DK"/>
        </w:rPr>
        <w:t>indekseffekt i sig selv</w:t>
      </w:r>
      <w:r w:rsidR="002F11B8">
        <w:rPr>
          <w:lang w:val="da-DK"/>
        </w:rPr>
        <w:t>.</w:t>
      </w:r>
    </w:p>
    <w:p w14:paraId="2022956E" w14:textId="644D14E8" w:rsidR="002F11B8" w:rsidRDefault="00CE452A" w:rsidP="002B0DBC">
      <w:pPr>
        <w:pStyle w:val="ListParagraph"/>
        <w:numPr>
          <w:ilvl w:val="0"/>
          <w:numId w:val="1"/>
        </w:numPr>
        <w:rPr>
          <w:lang w:val="da-DK"/>
        </w:rPr>
      </w:pPr>
      <w:r>
        <w:rPr>
          <w:lang w:val="da-DK"/>
        </w:rPr>
        <w:t>Udfaldsrum for s</w:t>
      </w:r>
      <w:r w:rsidR="00237692" w:rsidRPr="002B0DBC">
        <w:rPr>
          <w:lang w:val="da-DK"/>
        </w:rPr>
        <w:t>kuffelseseffekten af at ryge ud,</w:t>
      </w:r>
      <w:r>
        <w:rPr>
          <w:lang w:val="da-DK"/>
        </w:rPr>
        <w:t xml:space="preserve"> er større end den tilsvarende positive effekt ved at komme ind.</w:t>
      </w:r>
    </w:p>
    <w:p w14:paraId="391693C0" w14:textId="35D451D3" w:rsidR="002B0DBC" w:rsidRPr="002B0DBC" w:rsidRDefault="002B0DBC" w:rsidP="002B0DBC">
      <w:pPr>
        <w:pStyle w:val="ListParagraph"/>
        <w:numPr>
          <w:ilvl w:val="0"/>
          <w:numId w:val="1"/>
        </w:numPr>
        <w:rPr>
          <w:lang w:val="da-DK"/>
        </w:rPr>
      </w:pPr>
      <w:r>
        <w:rPr>
          <w:lang w:val="da-DK"/>
        </w:rPr>
        <w:t>Bemærk venligst, at der er ikke nogen regler uden undtagelser.</w:t>
      </w:r>
    </w:p>
    <w:p w14:paraId="092C92E6" w14:textId="520CCA23" w:rsidR="00237692" w:rsidRPr="002B0DBC" w:rsidRDefault="002B0DBC">
      <w:pPr>
        <w:rPr>
          <w:b/>
          <w:bCs/>
          <w:lang w:val="da-DK"/>
        </w:rPr>
      </w:pPr>
      <w:r w:rsidRPr="002B0DBC">
        <w:rPr>
          <w:b/>
          <w:bCs/>
          <w:lang w:val="da-DK"/>
        </w:rPr>
        <w:t>C-25 k</w:t>
      </w:r>
      <w:r w:rsidR="00237692" w:rsidRPr="002B0DBC">
        <w:rPr>
          <w:b/>
          <w:bCs/>
          <w:lang w:val="da-DK"/>
        </w:rPr>
        <w:t>amp til stregen og til det sidste</w:t>
      </w:r>
    </w:p>
    <w:p w14:paraId="0B7D9188" w14:textId="0795D572" w:rsidR="00237692" w:rsidRDefault="00237692">
      <w:pPr>
        <w:rPr>
          <w:lang w:val="da-DK"/>
        </w:rPr>
      </w:pPr>
      <w:r>
        <w:rPr>
          <w:lang w:val="da-DK"/>
        </w:rPr>
        <w:t>Endnu er intet afgjort. At dømme efter vores data synes muligheder</w:t>
      </w:r>
      <w:r w:rsidR="002B0DBC">
        <w:rPr>
          <w:lang w:val="da-DK"/>
        </w:rPr>
        <w:t>ne</w:t>
      </w:r>
      <w:r>
        <w:rPr>
          <w:lang w:val="da-DK"/>
        </w:rPr>
        <w:t xml:space="preserve"> for at Zealand Pharma</w:t>
      </w:r>
      <w:r w:rsidR="003A739F">
        <w:rPr>
          <w:lang w:val="da-DK"/>
        </w:rPr>
        <w:t>/NKT</w:t>
      </w:r>
      <w:r>
        <w:rPr>
          <w:lang w:val="da-DK"/>
        </w:rPr>
        <w:t xml:space="preserve"> kommer ind</w:t>
      </w:r>
      <w:r w:rsidR="002B0DBC">
        <w:rPr>
          <w:lang w:val="da-DK"/>
        </w:rPr>
        <w:t xml:space="preserve"> </w:t>
      </w:r>
      <w:r>
        <w:rPr>
          <w:lang w:val="da-DK"/>
        </w:rPr>
        <w:t>at være gode, og Netcompany/FLSmidth ligger med 9 dage tilbage i nedrykningsf</w:t>
      </w:r>
      <w:r w:rsidR="001C6CD8">
        <w:rPr>
          <w:lang w:val="da-DK"/>
        </w:rPr>
        <w:t>are</w:t>
      </w:r>
      <w:r>
        <w:rPr>
          <w:lang w:val="da-DK"/>
        </w:rPr>
        <w:t>. Royal Unibrew er med på et yderligt mandat</w:t>
      </w:r>
      <w:r w:rsidR="003A739F">
        <w:rPr>
          <w:lang w:val="da-DK"/>
        </w:rPr>
        <w:t>.</w:t>
      </w:r>
      <w:r w:rsidR="002B0DBC">
        <w:rPr>
          <w:lang w:val="da-DK"/>
        </w:rPr>
        <w:t xml:space="preserve"> </w:t>
      </w:r>
      <w:r w:rsidR="001C6CD8">
        <w:rPr>
          <w:lang w:val="da-DK"/>
        </w:rPr>
        <w:t>FLS/Netcompany kan måske komme til at få en ”tillægsplads”, når fusionen mellem Novozymes/Chr. Hansen er godkendt og ”effektureres”</w:t>
      </w:r>
    </w:p>
    <w:p w14:paraId="78EF1912" w14:textId="77777777" w:rsidR="00CE452A" w:rsidRDefault="00CE452A" w:rsidP="00CE452A">
      <w:r w:rsidRPr="00CE452A">
        <w:rPr>
          <w:color w:val="FF2B83"/>
        </w:rPr>
        <w:t xml:space="preserve">Figur 1: </w:t>
      </w:r>
      <w:r w:rsidRPr="00CE452A">
        <w:t xml:space="preserve">Oversigt over </w:t>
      </w:r>
      <w:r w:rsidRPr="00CE452A">
        <w:rPr>
          <w:color w:val="FF2B83"/>
        </w:rPr>
        <w:t xml:space="preserve">35 største aktier </w:t>
      </w:r>
      <w:r w:rsidRPr="00CE452A">
        <w:t>baseret på free float per ultimo oktober 2023.</w:t>
      </w:r>
    </w:p>
    <w:p w14:paraId="1C536A9C" w14:textId="5F6D8215" w:rsidR="0020593B" w:rsidRPr="00CE452A" w:rsidRDefault="0020593B" w:rsidP="00CE452A">
      <w:r>
        <w:t>Kilde: Yahoo Finance, Marketscreener.com</w:t>
      </w:r>
    </w:p>
    <w:p w14:paraId="07A1CFFD" w14:textId="77777777" w:rsidR="00CE452A" w:rsidRDefault="00CE452A" w:rsidP="00CE452A"/>
    <w:tbl>
      <w:tblPr>
        <w:tblW w:w="8560" w:type="dxa"/>
        <w:tblCellMar>
          <w:left w:w="0" w:type="dxa"/>
          <w:right w:w="0" w:type="dxa"/>
        </w:tblCellMar>
        <w:tblLook w:val="0400" w:firstRow="0" w:lastRow="0" w:firstColumn="0" w:lastColumn="0" w:noHBand="0" w:noVBand="1"/>
      </w:tblPr>
      <w:tblGrid>
        <w:gridCol w:w="539"/>
        <w:gridCol w:w="201"/>
        <w:gridCol w:w="2653"/>
        <w:gridCol w:w="1478"/>
        <w:gridCol w:w="3689"/>
      </w:tblGrid>
      <w:tr w:rsidR="00CE452A" w:rsidRPr="000455AC" w14:paraId="35F0BDC6" w14:textId="77777777" w:rsidTr="00BD066A">
        <w:trPr>
          <w:trHeight w:val="255"/>
        </w:trPr>
        <w:tc>
          <w:tcPr>
            <w:tcW w:w="539"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5B4C78B" w14:textId="77777777" w:rsidR="00CE452A" w:rsidRPr="000455AC" w:rsidRDefault="00CE452A" w:rsidP="00BD066A">
            <w:pPr>
              <w:rPr>
                <w:lang w:val="da-DK"/>
              </w:rPr>
            </w:pPr>
            <w:r w:rsidRPr="000455AC">
              <w:rPr>
                <w:lang w:val="en-US"/>
              </w:rPr>
              <w:t>#</w:t>
            </w:r>
          </w:p>
        </w:tc>
        <w:tc>
          <w:tcPr>
            <w:tcW w:w="201"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35806E5" w14:textId="77777777" w:rsidR="00CE452A" w:rsidRPr="000455AC" w:rsidRDefault="00CE452A" w:rsidP="00BD066A">
            <w:pPr>
              <w:rPr>
                <w:lang w:val="da-DK"/>
              </w:rPr>
            </w:pPr>
          </w:p>
        </w:tc>
        <w:tc>
          <w:tcPr>
            <w:tcW w:w="2653"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430D7282" w14:textId="77777777" w:rsidR="00CE452A" w:rsidRPr="000455AC" w:rsidRDefault="00CE452A" w:rsidP="00BD066A">
            <w:pPr>
              <w:rPr>
                <w:lang w:val="da-DK"/>
              </w:rPr>
            </w:pPr>
            <w:r w:rsidRPr="000455AC">
              <w:rPr>
                <w:b/>
                <w:bCs/>
                <w:lang w:val="en-US"/>
              </w:rPr>
              <w:t>Aktie</w:t>
            </w:r>
          </w:p>
        </w:tc>
        <w:tc>
          <w:tcPr>
            <w:tcW w:w="1478"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75EEAD9B" w14:textId="77777777" w:rsidR="00CE452A" w:rsidRPr="000455AC" w:rsidRDefault="00CE452A" w:rsidP="00BD066A">
            <w:pPr>
              <w:rPr>
                <w:lang w:val="da-DK"/>
              </w:rPr>
            </w:pPr>
            <w:r w:rsidRPr="000455AC">
              <w:rPr>
                <w:b/>
                <w:bCs/>
                <w:lang w:val="da-DK"/>
              </w:rPr>
              <w:t>Symbol</w:t>
            </w:r>
          </w:p>
        </w:tc>
        <w:tc>
          <w:tcPr>
            <w:tcW w:w="3689"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086FEFB" w14:textId="77777777" w:rsidR="00CE452A" w:rsidRPr="000455AC" w:rsidRDefault="00CE452A" w:rsidP="00BD066A">
            <w:pPr>
              <w:rPr>
                <w:lang w:val="da-DK"/>
              </w:rPr>
            </w:pPr>
            <w:r w:rsidRPr="000455AC">
              <w:rPr>
                <w:b/>
                <w:bCs/>
                <w:lang w:val="da-DK"/>
              </w:rPr>
              <w:t xml:space="preserve">Free float markedsværdi </w:t>
            </w:r>
            <w:r w:rsidRPr="000455AC">
              <w:rPr>
                <w:lang w:val="da-DK"/>
              </w:rPr>
              <w:t>(DKK mio.)</w:t>
            </w:r>
          </w:p>
        </w:tc>
      </w:tr>
      <w:tr w:rsidR="00CE452A" w:rsidRPr="000455AC" w14:paraId="58242FA7" w14:textId="77777777" w:rsidTr="00BD066A">
        <w:trPr>
          <w:trHeight w:val="255"/>
        </w:trPr>
        <w:tc>
          <w:tcPr>
            <w:tcW w:w="539" w:type="dxa"/>
            <w:tcBorders>
              <w:top w:val="single" w:sz="4" w:space="0" w:color="000000"/>
              <w:left w:val="nil"/>
              <w:bottom w:val="single" w:sz="4" w:space="0" w:color="FFFFFF"/>
              <w:right w:val="nil"/>
            </w:tcBorders>
            <w:shd w:val="clear" w:color="auto" w:fill="auto"/>
            <w:tcMar>
              <w:top w:w="15" w:type="dxa"/>
              <w:left w:w="70" w:type="dxa"/>
              <w:bottom w:w="0" w:type="dxa"/>
              <w:right w:w="70" w:type="dxa"/>
            </w:tcMar>
            <w:vAlign w:val="bottom"/>
            <w:hideMark/>
          </w:tcPr>
          <w:p w14:paraId="6FAD1F8E" w14:textId="77777777" w:rsidR="00CE452A" w:rsidRPr="000455AC" w:rsidRDefault="00CE452A" w:rsidP="00BD066A">
            <w:pPr>
              <w:rPr>
                <w:lang w:val="da-DK"/>
              </w:rPr>
            </w:pPr>
            <w:r w:rsidRPr="000455AC">
              <w:rPr>
                <w:lang w:val="da-DK"/>
              </w:rPr>
              <w:t>1.</w:t>
            </w:r>
          </w:p>
        </w:tc>
        <w:tc>
          <w:tcPr>
            <w:tcW w:w="201" w:type="dxa"/>
            <w:tcBorders>
              <w:top w:val="single" w:sz="4" w:space="0" w:color="000000"/>
              <w:left w:val="nil"/>
              <w:bottom w:val="single" w:sz="4" w:space="0" w:color="FFFFFF"/>
              <w:right w:val="nil"/>
            </w:tcBorders>
            <w:shd w:val="clear" w:color="auto" w:fill="F2F2F2"/>
            <w:tcMar>
              <w:top w:w="15" w:type="dxa"/>
              <w:left w:w="70" w:type="dxa"/>
              <w:bottom w:w="0" w:type="dxa"/>
              <w:right w:w="70" w:type="dxa"/>
            </w:tcMar>
            <w:vAlign w:val="bottom"/>
            <w:hideMark/>
          </w:tcPr>
          <w:p w14:paraId="5FA0877D" w14:textId="77777777" w:rsidR="00CE452A" w:rsidRPr="000455AC" w:rsidRDefault="00CE452A" w:rsidP="00BD066A">
            <w:pPr>
              <w:rPr>
                <w:lang w:val="da-DK"/>
              </w:rPr>
            </w:pPr>
          </w:p>
        </w:tc>
        <w:tc>
          <w:tcPr>
            <w:tcW w:w="2653" w:type="dxa"/>
            <w:tcBorders>
              <w:top w:val="single" w:sz="4" w:space="0" w:color="000000"/>
              <w:left w:val="nil"/>
              <w:bottom w:val="single" w:sz="4" w:space="0" w:color="FFFFFF"/>
              <w:right w:val="nil"/>
            </w:tcBorders>
            <w:shd w:val="clear" w:color="auto" w:fill="F2F2F2"/>
            <w:tcMar>
              <w:top w:w="15" w:type="dxa"/>
              <w:left w:w="70" w:type="dxa"/>
              <w:bottom w:w="0" w:type="dxa"/>
              <w:right w:w="70" w:type="dxa"/>
            </w:tcMar>
            <w:vAlign w:val="bottom"/>
            <w:hideMark/>
          </w:tcPr>
          <w:p w14:paraId="2C7ABED2" w14:textId="77777777" w:rsidR="00CE452A" w:rsidRPr="000455AC" w:rsidRDefault="00CE452A" w:rsidP="00BD066A">
            <w:pPr>
              <w:rPr>
                <w:lang w:val="da-DK"/>
              </w:rPr>
            </w:pPr>
            <w:r w:rsidRPr="000455AC">
              <w:rPr>
                <w:lang w:val="da-DK"/>
              </w:rPr>
              <w:t>Novo Nordisk B</w:t>
            </w:r>
          </w:p>
        </w:tc>
        <w:tc>
          <w:tcPr>
            <w:tcW w:w="1478" w:type="dxa"/>
            <w:tcBorders>
              <w:top w:val="single" w:sz="4" w:space="0" w:color="000000"/>
              <w:left w:val="nil"/>
              <w:bottom w:val="single" w:sz="4" w:space="0" w:color="FFFFFF"/>
              <w:right w:val="nil"/>
            </w:tcBorders>
            <w:shd w:val="clear" w:color="auto" w:fill="F2F2F2"/>
            <w:tcMar>
              <w:top w:w="15" w:type="dxa"/>
              <w:left w:w="70" w:type="dxa"/>
              <w:bottom w:w="0" w:type="dxa"/>
              <w:right w:w="70" w:type="dxa"/>
            </w:tcMar>
            <w:vAlign w:val="bottom"/>
            <w:hideMark/>
          </w:tcPr>
          <w:p w14:paraId="7BF75427" w14:textId="77777777" w:rsidR="00CE452A" w:rsidRPr="000455AC" w:rsidRDefault="00CE452A" w:rsidP="00BD066A">
            <w:pPr>
              <w:rPr>
                <w:lang w:val="da-DK"/>
              </w:rPr>
            </w:pPr>
            <w:r w:rsidRPr="000455AC">
              <w:rPr>
                <w:lang w:val="da-DK"/>
              </w:rPr>
              <w:t>NOVO B</w:t>
            </w:r>
          </w:p>
        </w:tc>
        <w:tc>
          <w:tcPr>
            <w:tcW w:w="3689" w:type="dxa"/>
            <w:tcBorders>
              <w:top w:val="single" w:sz="4" w:space="0" w:color="000000"/>
              <w:left w:val="nil"/>
              <w:bottom w:val="single" w:sz="4" w:space="0" w:color="FFFFFF"/>
              <w:right w:val="nil"/>
            </w:tcBorders>
            <w:shd w:val="clear" w:color="auto" w:fill="F2F2F2"/>
            <w:tcMar>
              <w:top w:w="15" w:type="dxa"/>
              <w:left w:w="70" w:type="dxa"/>
              <w:bottom w:w="0" w:type="dxa"/>
              <w:right w:w="70" w:type="dxa"/>
            </w:tcMar>
            <w:vAlign w:val="bottom"/>
            <w:hideMark/>
          </w:tcPr>
          <w:p w14:paraId="5A646283" w14:textId="77777777" w:rsidR="00CE452A" w:rsidRPr="000455AC" w:rsidRDefault="00CE452A" w:rsidP="00BD066A">
            <w:pPr>
              <w:jc w:val="right"/>
              <w:rPr>
                <w:lang w:val="da-DK"/>
              </w:rPr>
            </w:pPr>
            <w:r w:rsidRPr="000455AC">
              <w:rPr>
                <w:lang w:val="da-DK"/>
              </w:rPr>
              <w:t>2.124.593</w:t>
            </w:r>
          </w:p>
        </w:tc>
      </w:tr>
      <w:tr w:rsidR="00CE452A" w:rsidRPr="000455AC" w14:paraId="2C938641"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F45015D" w14:textId="77777777" w:rsidR="00CE452A" w:rsidRPr="000455AC" w:rsidRDefault="00CE452A" w:rsidP="00BD066A">
            <w:pPr>
              <w:rPr>
                <w:lang w:val="da-DK"/>
              </w:rPr>
            </w:pPr>
            <w:r w:rsidRPr="000455AC">
              <w:rPr>
                <w:lang w:val="da-DK"/>
              </w:rPr>
              <w:t>2.</w:t>
            </w:r>
          </w:p>
        </w:tc>
        <w:tc>
          <w:tcPr>
            <w:tcW w:w="201" w:type="dxa"/>
            <w:tcBorders>
              <w:top w:val="single" w:sz="4"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5525BFA" w14:textId="77777777" w:rsidR="00CE452A" w:rsidRPr="000455AC" w:rsidRDefault="00CE452A" w:rsidP="00BD066A">
            <w:pPr>
              <w:rPr>
                <w:lang w:val="da-DK"/>
              </w:rPr>
            </w:pPr>
          </w:p>
        </w:tc>
        <w:tc>
          <w:tcPr>
            <w:tcW w:w="2653" w:type="dxa"/>
            <w:tcBorders>
              <w:top w:val="single" w:sz="4"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39F3DCB" w14:textId="77777777" w:rsidR="00CE452A" w:rsidRPr="000455AC" w:rsidRDefault="00CE452A" w:rsidP="00BD066A">
            <w:pPr>
              <w:rPr>
                <w:lang w:val="da-DK"/>
              </w:rPr>
            </w:pPr>
            <w:r w:rsidRPr="000455AC">
              <w:rPr>
                <w:lang w:val="da-DK"/>
              </w:rPr>
              <w:t>Nordea Bank Abp</w:t>
            </w:r>
          </w:p>
        </w:tc>
        <w:tc>
          <w:tcPr>
            <w:tcW w:w="1478" w:type="dxa"/>
            <w:tcBorders>
              <w:top w:val="single" w:sz="4"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F126285" w14:textId="77777777" w:rsidR="00CE452A" w:rsidRPr="000455AC" w:rsidRDefault="00CE452A" w:rsidP="00BD066A">
            <w:pPr>
              <w:rPr>
                <w:lang w:val="da-DK"/>
              </w:rPr>
            </w:pPr>
            <w:r w:rsidRPr="000455AC">
              <w:rPr>
                <w:lang w:val="da-DK"/>
              </w:rPr>
              <w:t>NDA DK</w:t>
            </w:r>
          </w:p>
        </w:tc>
        <w:tc>
          <w:tcPr>
            <w:tcW w:w="3689" w:type="dxa"/>
            <w:tcBorders>
              <w:top w:val="single" w:sz="4"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F5A76FC" w14:textId="77777777" w:rsidR="00CE452A" w:rsidRPr="000455AC" w:rsidRDefault="00CE452A" w:rsidP="00BD066A">
            <w:pPr>
              <w:jc w:val="right"/>
              <w:rPr>
                <w:lang w:val="da-DK"/>
              </w:rPr>
            </w:pPr>
            <w:r w:rsidRPr="000455AC">
              <w:rPr>
                <w:lang w:val="da-DK"/>
              </w:rPr>
              <w:t>236.127</w:t>
            </w:r>
          </w:p>
        </w:tc>
      </w:tr>
      <w:tr w:rsidR="00CE452A" w:rsidRPr="000455AC" w14:paraId="0FAA5B51"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29223E3" w14:textId="77777777" w:rsidR="00CE452A" w:rsidRPr="000455AC" w:rsidRDefault="00CE452A" w:rsidP="00BD066A">
            <w:pPr>
              <w:rPr>
                <w:lang w:val="da-DK"/>
              </w:rPr>
            </w:pPr>
            <w:r w:rsidRPr="000455AC">
              <w:rPr>
                <w:lang w:val="da-DK"/>
              </w:rPr>
              <w:t>3.</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B777EC1"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4669F0" w14:textId="77777777" w:rsidR="00CE452A" w:rsidRPr="000455AC" w:rsidRDefault="00CE452A" w:rsidP="00BD066A">
            <w:pPr>
              <w:rPr>
                <w:lang w:val="da-DK"/>
              </w:rPr>
            </w:pPr>
            <w:r w:rsidRPr="000455AC">
              <w:rPr>
                <w:lang w:val="da-DK"/>
              </w:rPr>
              <w:t>DSV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25ADC08" w14:textId="77777777" w:rsidR="00CE452A" w:rsidRPr="000455AC" w:rsidRDefault="00CE452A" w:rsidP="00BD066A">
            <w:pPr>
              <w:rPr>
                <w:lang w:val="da-DK"/>
              </w:rPr>
            </w:pPr>
            <w:r w:rsidRPr="000455AC">
              <w:rPr>
                <w:lang w:val="da-DK"/>
              </w:rPr>
              <w:t>DSV</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2B7C917" w14:textId="77777777" w:rsidR="00CE452A" w:rsidRPr="000455AC" w:rsidRDefault="00CE452A" w:rsidP="00BD066A">
            <w:pPr>
              <w:jc w:val="right"/>
              <w:rPr>
                <w:lang w:val="da-DK"/>
              </w:rPr>
            </w:pPr>
            <w:r w:rsidRPr="000455AC">
              <w:rPr>
                <w:lang w:val="da-DK"/>
              </w:rPr>
              <w:t>177.164</w:t>
            </w:r>
          </w:p>
        </w:tc>
      </w:tr>
      <w:tr w:rsidR="00CE452A" w:rsidRPr="000455AC" w14:paraId="1F616A2B"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57DE275" w14:textId="77777777" w:rsidR="00CE452A" w:rsidRPr="000455AC" w:rsidRDefault="00CE452A" w:rsidP="00BD066A">
            <w:pPr>
              <w:rPr>
                <w:lang w:val="da-DK"/>
              </w:rPr>
            </w:pPr>
            <w:r w:rsidRPr="000455AC">
              <w:rPr>
                <w:lang w:val="da-DK"/>
              </w:rPr>
              <w:t>4.</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965668B"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21B9346" w14:textId="77777777" w:rsidR="00CE452A" w:rsidRPr="000455AC" w:rsidRDefault="00CE452A" w:rsidP="00BD066A">
            <w:pPr>
              <w:rPr>
                <w:lang w:val="da-DK"/>
              </w:rPr>
            </w:pPr>
            <w:r w:rsidRPr="000455AC">
              <w:rPr>
                <w:lang w:val="da-DK"/>
              </w:rPr>
              <w:t>Vestas Wind Systems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6EDC7C9" w14:textId="77777777" w:rsidR="00CE452A" w:rsidRPr="000455AC" w:rsidRDefault="00CE452A" w:rsidP="00BD066A">
            <w:pPr>
              <w:rPr>
                <w:lang w:val="da-DK"/>
              </w:rPr>
            </w:pPr>
            <w:r w:rsidRPr="000455AC">
              <w:rPr>
                <w:lang w:val="da-DK"/>
              </w:rPr>
              <w:t>VWS</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B163E50" w14:textId="77777777" w:rsidR="00CE452A" w:rsidRPr="000455AC" w:rsidRDefault="00CE452A" w:rsidP="00BD066A">
            <w:pPr>
              <w:jc w:val="right"/>
              <w:rPr>
                <w:lang w:val="da-DK"/>
              </w:rPr>
            </w:pPr>
            <w:r w:rsidRPr="000455AC">
              <w:rPr>
                <w:lang w:val="da-DK"/>
              </w:rPr>
              <w:t>153.080</w:t>
            </w:r>
          </w:p>
        </w:tc>
      </w:tr>
      <w:tr w:rsidR="00CE452A" w:rsidRPr="000455AC" w14:paraId="3E0BB071"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732A4B2" w14:textId="77777777" w:rsidR="00CE452A" w:rsidRPr="000455AC" w:rsidRDefault="00CE452A" w:rsidP="00BD066A">
            <w:pPr>
              <w:rPr>
                <w:lang w:val="da-DK"/>
              </w:rPr>
            </w:pPr>
            <w:r w:rsidRPr="000455AC">
              <w:rPr>
                <w:lang w:val="da-DK"/>
              </w:rPr>
              <w:t>5.</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CE53FE4"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1D0F827" w14:textId="77777777" w:rsidR="00CE452A" w:rsidRPr="000455AC" w:rsidRDefault="00CE452A" w:rsidP="00BD066A">
            <w:pPr>
              <w:rPr>
                <w:lang w:val="da-DK"/>
              </w:rPr>
            </w:pPr>
            <w:r w:rsidRPr="000455AC">
              <w:rPr>
                <w:lang w:val="da-DK"/>
              </w:rPr>
              <w:t>Genmab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CCC06B" w14:textId="77777777" w:rsidR="00CE452A" w:rsidRPr="000455AC" w:rsidRDefault="00CE452A" w:rsidP="00BD066A">
            <w:pPr>
              <w:rPr>
                <w:lang w:val="da-DK"/>
              </w:rPr>
            </w:pPr>
            <w:r w:rsidRPr="000455AC">
              <w:rPr>
                <w:lang w:val="da-DK"/>
              </w:rPr>
              <w:t>GMAB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1FE90F4" w14:textId="77777777" w:rsidR="00CE452A" w:rsidRPr="000455AC" w:rsidRDefault="00CE452A" w:rsidP="00BD066A">
            <w:pPr>
              <w:jc w:val="right"/>
              <w:rPr>
                <w:lang w:val="da-DK"/>
              </w:rPr>
            </w:pPr>
            <w:r w:rsidRPr="000455AC">
              <w:rPr>
                <w:lang w:val="da-DK"/>
              </w:rPr>
              <w:t>128.478</w:t>
            </w:r>
          </w:p>
        </w:tc>
      </w:tr>
      <w:tr w:rsidR="00CE452A" w:rsidRPr="000455AC" w14:paraId="3B89796E"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17CA3AF" w14:textId="77777777" w:rsidR="00CE452A" w:rsidRPr="000455AC" w:rsidRDefault="00CE452A" w:rsidP="00BD066A">
            <w:pPr>
              <w:rPr>
                <w:lang w:val="da-DK"/>
              </w:rPr>
            </w:pPr>
            <w:r w:rsidRPr="000455AC">
              <w:rPr>
                <w:lang w:val="da-DK"/>
              </w:rPr>
              <w:t>6.</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5A0591A"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386FCD4" w14:textId="77777777" w:rsidR="00CE452A" w:rsidRPr="000455AC" w:rsidRDefault="00CE452A" w:rsidP="00BD066A">
            <w:pPr>
              <w:rPr>
                <w:lang w:val="da-DK"/>
              </w:rPr>
            </w:pPr>
            <w:r w:rsidRPr="000455AC">
              <w:rPr>
                <w:lang w:val="da-DK"/>
              </w:rPr>
              <w:t>Danske Bank</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C9E4EAC" w14:textId="77777777" w:rsidR="00CE452A" w:rsidRPr="000455AC" w:rsidRDefault="00CE452A" w:rsidP="00BD066A">
            <w:pPr>
              <w:rPr>
                <w:lang w:val="da-DK"/>
              </w:rPr>
            </w:pPr>
            <w:r w:rsidRPr="000455AC">
              <w:rPr>
                <w:lang w:val="da-DK"/>
              </w:rPr>
              <w:t>DANSKE</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03CE77E" w14:textId="77777777" w:rsidR="00CE452A" w:rsidRPr="000455AC" w:rsidRDefault="00CE452A" w:rsidP="00BD066A">
            <w:pPr>
              <w:jc w:val="right"/>
              <w:rPr>
                <w:lang w:val="da-DK"/>
              </w:rPr>
            </w:pPr>
            <w:r w:rsidRPr="000455AC">
              <w:rPr>
                <w:lang w:val="da-DK"/>
              </w:rPr>
              <w:t>111.511</w:t>
            </w:r>
          </w:p>
        </w:tc>
      </w:tr>
      <w:tr w:rsidR="00CE452A" w:rsidRPr="000455AC" w14:paraId="0DF5C74A"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40454B2" w14:textId="77777777" w:rsidR="00CE452A" w:rsidRPr="000455AC" w:rsidRDefault="00CE452A" w:rsidP="00BD066A">
            <w:pPr>
              <w:rPr>
                <w:lang w:val="da-DK"/>
              </w:rPr>
            </w:pPr>
            <w:r w:rsidRPr="000455AC">
              <w:rPr>
                <w:lang w:val="da-DK"/>
              </w:rPr>
              <w:t>7.</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531E975"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6D62191" w14:textId="77777777" w:rsidR="00CE452A" w:rsidRPr="000455AC" w:rsidRDefault="00CE452A" w:rsidP="00BD066A">
            <w:pPr>
              <w:rPr>
                <w:lang w:val="da-DK"/>
              </w:rPr>
            </w:pPr>
            <w:r w:rsidRPr="000455AC">
              <w:rPr>
                <w:lang w:val="da-DK"/>
              </w:rPr>
              <w:t>Coloplast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FD29F61" w14:textId="77777777" w:rsidR="00CE452A" w:rsidRPr="000455AC" w:rsidRDefault="00CE452A" w:rsidP="00BD066A">
            <w:pPr>
              <w:rPr>
                <w:lang w:val="da-DK"/>
              </w:rPr>
            </w:pPr>
            <w:r w:rsidRPr="000455AC">
              <w:rPr>
                <w:lang w:val="da-DK"/>
              </w:rPr>
              <w:t>COLO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E390EB4" w14:textId="77777777" w:rsidR="00CE452A" w:rsidRPr="000455AC" w:rsidRDefault="00CE452A" w:rsidP="00BD066A">
            <w:pPr>
              <w:jc w:val="right"/>
              <w:rPr>
                <w:lang w:val="da-DK"/>
              </w:rPr>
            </w:pPr>
            <w:r w:rsidRPr="000455AC">
              <w:rPr>
                <w:lang w:val="da-DK"/>
              </w:rPr>
              <w:t>95.924</w:t>
            </w:r>
          </w:p>
        </w:tc>
      </w:tr>
      <w:tr w:rsidR="00CE452A" w:rsidRPr="000455AC" w14:paraId="3A45B90A"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8EB28B1" w14:textId="77777777" w:rsidR="00CE452A" w:rsidRPr="000455AC" w:rsidRDefault="00CE452A" w:rsidP="00BD066A">
            <w:pPr>
              <w:rPr>
                <w:lang w:val="da-DK"/>
              </w:rPr>
            </w:pPr>
            <w:r w:rsidRPr="000455AC">
              <w:rPr>
                <w:lang w:val="da-DK"/>
              </w:rPr>
              <w:t>8</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084DABA"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3C7F5E6" w14:textId="77777777" w:rsidR="00CE452A" w:rsidRPr="000455AC" w:rsidRDefault="00CE452A" w:rsidP="00BD066A">
            <w:pPr>
              <w:rPr>
                <w:lang w:val="da-DK"/>
              </w:rPr>
            </w:pPr>
            <w:r w:rsidRPr="000455AC">
              <w:rPr>
                <w:lang w:val="da-DK"/>
              </w:rPr>
              <w:t>A.P. Møller - Mærsk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9315AB7" w14:textId="77777777" w:rsidR="00CE452A" w:rsidRPr="000455AC" w:rsidRDefault="00CE452A" w:rsidP="00BD066A">
            <w:pPr>
              <w:rPr>
                <w:lang w:val="da-DK"/>
              </w:rPr>
            </w:pPr>
            <w:r w:rsidRPr="000455AC">
              <w:rPr>
                <w:lang w:val="da-DK"/>
              </w:rPr>
              <w:t>MAERSK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571D002" w14:textId="77777777" w:rsidR="00CE452A" w:rsidRPr="000455AC" w:rsidRDefault="00CE452A" w:rsidP="00BD066A">
            <w:pPr>
              <w:jc w:val="right"/>
              <w:rPr>
                <w:lang w:val="da-DK"/>
              </w:rPr>
            </w:pPr>
            <w:r w:rsidRPr="000455AC">
              <w:rPr>
                <w:lang w:val="da-DK"/>
              </w:rPr>
              <w:t>85.210</w:t>
            </w:r>
          </w:p>
        </w:tc>
      </w:tr>
      <w:tr w:rsidR="00CE452A" w:rsidRPr="000455AC" w14:paraId="43F97181"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FD88615" w14:textId="77777777" w:rsidR="00CE452A" w:rsidRPr="000455AC" w:rsidRDefault="00CE452A" w:rsidP="00BD066A">
            <w:pPr>
              <w:rPr>
                <w:lang w:val="da-DK"/>
              </w:rPr>
            </w:pPr>
            <w:r w:rsidRPr="000455AC">
              <w:rPr>
                <w:lang w:val="da-DK"/>
              </w:rPr>
              <w:lastRenderedPageBreak/>
              <w:t>9.</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09C981D"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846B20" w14:textId="77777777" w:rsidR="00CE452A" w:rsidRPr="000455AC" w:rsidRDefault="00CE452A" w:rsidP="00BD066A">
            <w:pPr>
              <w:rPr>
                <w:lang w:val="da-DK"/>
              </w:rPr>
            </w:pPr>
            <w:r w:rsidRPr="000455AC">
              <w:rPr>
                <w:lang w:val="da-DK"/>
              </w:rPr>
              <w:t>Carlsberg A/S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D0E7541" w14:textId="77777777" w:rsidR="00CE452A" w:rsidRPr="000455AC" w:rsidRDefault="00CE452A" w:rsidP="00BD066A">
            <w:pPr>
              <w:rPr>
                <w:lang w:val="da-DK"/>
              </w:rPr>
            </w:pPr>
            <w:r w:rsidRPr="000455AC">
              <w:rPr>
                <w:lang w:val="da-DK"/>
              </w:rPr>
              <w:t>CARL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EB51528" w14:textId="77777777" w:rsidR="00CE452A" w:rsidRPr="000455AC" w:rsidRDefault="00CE452A" w:rsidP="00BD066A">
            <w:pPr>
              <w:jc w:val="right"/>
              <w:rPr>
                <w:lang w:val="da-DK"/>
              </w:rPr>
            </w:pPr>
            <w:r w:rsidRPr="000455AC">
              <w:rPr>
                <w:lang w:val="da-DK"/>
              </w:rPr>
              <w:t>80.174</w:t>
            </w:r>
          </w:p>
        </w:tc>
      </w:tr>
      <w:tr w:rsidR="00CE452A" w:rsidRPr="000455AC" w14:paraId="48A5424E"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38430C3" w14:textId="77777777" w:rsidR="00CE452A" w:rsidRPr="000455AC" w:rsidRDefault="00CE452A" w:rsidP="00BD066A">
            <w:pPr>
              <w:rPr>
                <w:lang w:val="da-DK"/>
              </w:rPr>
            </w:pPr>
            <w:r w:rsidRPr="000455AC">
              <w:rPr>
                <w:lang w:val="da-DK"/>
              </w:rPr>
              <w:t>10.</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14F8CF2"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3DEED2B" w14:textId="77777777" w:rsidR="00CE452A" w:rsidRPr="000455AC" w:rsidRDefault="00CE452A" w:rsidP="00BD066A">
            <w:pPr>
              <w:rPr>
                <w:lang w:val="da-DK"/>
              </w:rPr>
            </w:pPr>
            <w:r w:rsidRPr="000455AC">
              <w:rPr>
                <w:lang w:val="da-DK"/>
              </w:rPr>
              <w:t>Tryg</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A3D4884" w14:textId="77777777" w:rsidR="00CE452A" w:rsidRPr="000455AC" w:rsidRDefault="00CE452A" w:rsidP="00BD066A">
            <w:pPr>
              <w:rPr>
                <w:lang w:val="da-DK"/>
              </w:rPr>
            </w:pPr>
            <w:r w:rsidRPr="000455AC">
              <w:rPr>
                <w:lang w:val="da-DK"/>
              </w:rPr>
              <w:t>TRYG</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C13A4C6" w14:textId="77777777" w:rsidR="00CE452A" w:rsidRPr="000455AC" w:rsidRDefault="00CE452A" w:rsidP="00BD066A">
            <w:pPr>
              <w:jc w:val="right"/>
              <w:rPr>
                <w:lang w:val="da-DK"/>
              </w:rPr>
            </w:pPr>
            <w:r w:rsidRPr="000455AC">
              <w:rPr>
                <w:lang w:val="da-DK"/>
              </w:rPr>
              <w:t>78.680</w:t>
            </w:r>
          </w:p>
        </w:tc>
      </w:tr>
      <w:tr w:rsidR="00CE452A" w:rsidRPr="000455AC" w14:paraId="6315B01E"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06ED8647" w14:textId="77777777" w:rsidR="00CE452A" w:rsidRPr="000455AC" w:rsidRDefault="00CE452A" w:rsidP="00BD066A">
            <w:pPr>
              <w:rPr>
                <w:lang w:val="da-DK"/>
              </w:rPr>
            </w:pPr>
            <w:r w:rsidRPr="000455AC">
              <w:rPr>
                <w:lang w:val="da-DK"/>
              </w:rPr>
              <w:t>11.</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1450066"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F2D2225" w14:textId="77777777" w:rsidR="00CE452A" w:rsidRPr="000455AC" w:rsidRDefault="00CE452A" w:rsidP="00BD066A">
            <w:pPr>
              <w:rPr>
                <w:lang w:val="da-DK"/>
              </w:rPr>
            </w:pPr>
            <w:r w:rsidRPr="000455AC">
              <w:rPr>
                <w:lang w:val="da-DK"/>
              </w:rPr>
              <w:t>A.P. Møller - Mærsk A</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183BE27" w14:textId="77777777" w:rsidR="00CE452A" w:rsidRPr="000455AC" w:rsidRDefault="00CE452A" w:rsidP="00BD066A">
            <w:pPr>
              <w:rPr>
                <w:lang w:val="da-DK"/>
              </w:rPr>
            </w:pPr>
            <w:r w:rsidRPr="000455AC">
              <w:rPr>
                <w:lang w:val="da-DK"/>
              </w:rPr>
              <w:t>MAERSK 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622E0C4" w14:textId="77777777" w:rsidR="00CE452A" w:rsidRPr="000455AC" w:rsidRDefault="00CE452A" w:rsidP="00BD066A">
            <w:pPr>
              <w:jc w:val="right"/>
              <w:rPr>
                <w:lang w:val="da-DK"/>
              </w:rPr>
            </w:pPr>
            <w:r w:rsidRPr="000455AC">
              <w:rPr>
                <w:lang w:val="da-DK"/>
              </w:rPr>
              <w:t>68.110</w:t>
            </w:r>
          </w:p>
        </w:tc>
      </w:tr>
      <w:tr w:rsidR="00CE452A" w:rsidRPr="000455AC" w14:paraId="40F619E5"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21264D6" w14:textId="77777777" w:rsidR="00CE452A" w:rsidRPr="000455AC" w:rsidRDefault="00CE452A" w:rsidP="00BD066A">
            <w:pPr>
              <w:rPr>
                <w:lang w:val="da-DK"/>
              </w:rPr>
            </w:pPr>
            <w:r w:rsidRPr="000455AC">
              <w:rPr>
                <w:lang w:val="da-DK"/>
              </w:rPr>
              <w:t>12.</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6B33BD6"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50B4F44" w14:textId="77777777" w:rsidR="00CE452A" w:rsidRPr="000455AC" w:rsidRDefault="00CE452A" w:rsidP="00BD066A">
            <w:pPr>
              <w:rPr>
                <w:lang w:val="da-DK"/>
              </w:rPr>
            </w:pPr>
            <w:r w:rsidRPr="000455AC">
              <w:rPr>
                <w:lang w:val="da-DK"/>
              </w:rPr>
              <w:t>Ørsted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DECCB54" w14:textId="77777777" w:rsidR="00CE452A" w:rsidRPr="000455AC" w:rsidRDefault="00CE452A" w:rsidP="00BD066A">
            <w:pPr>
              <w:rPr>
                <w:lang w:val="da-DK"/>
              </w:rPr>
            </w:pPr>
            <w:r w:rsidRPr="000455AC">
              <w:rPr>
                <w:lang w:val="da-DK"/>
              </w:rPr>
              <w:t>ORSTED</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041375F" w14:textId="77777777" w:rsidR="00CE452A" w:rsidRPr="000455AC" w:rsidRDefault="00CE452A" w:rsidP="00BD066A">
            <w:pPr>
              <w:jc w:val="right"/>
              <w:rPr>
                <w:lang w:val="da-DK"/>
              </w:rPr>
            </w:pPr>
            <w:r w:rsidRPr="000455AC">
              <w:rPr>
                <w:lang w:val="da-DK"/>
              </w:rPr>
              <w:t>64.052</w:t>
            </w:r>
          </w:p>
        </w:tc>
      </w:tr>
      <w:tr w:rsidR="00CE452A" w:rsidRPr="000455AC" w14:paraId="7CF36BA4"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C4C2CA0" w14:textId="77777777" w:rsidR="00CE452A" w:rsidRPr="000455AC" w:rsidRDefault="00CE452A" w:rsidP="00BD066A">
            <w:pPr>
              <w:rPr>
                <w:lang w:val="da-DK"/>
              </w:rPr>
            </w:pPr>
            <w:r w:rsidRPr="000455AC">
              <w:rPr>
                <w:lang w:val="da-DK"/>
              </w:rPr>
              <w:t>13.</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158C613"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5B39979" w14:textId="77777777" w:rsidR="00CE452A" w:rsidRPr="000455AC" w:rsidRDefault="00CE452A" w:rsidP="00BD066A">
            <w:pPr>
              <w:rPr>
                <w:lang w:val="da-DK"/>
              </w:rPr>
            </w:pPr>
            <w:r w:rsidRPr="000455AC">
              <w:rPr>
                <w:lang w:val="da-DK"/>
              </w:rPr>
              <w:t>Novozymes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613973D" w14:textId="77777777" w:rsidR="00CE452A" w:rsidRPr="000455AC" w:rsidRDefault="00CE452A" w:rsidP="00BD066A">
            <w:pPr>
              <w:rPr>
                <w:lang w:val="da-DK"/>
              </w:rPr>
            </w:pPr>
            <w:r w:rsidRPr="000455AC">
              <w:rPr>
                <w:lang w:val="da-DK"/>
              </w:rPr>
              <w:t>NZYM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89DE8A9" w14:textId="77777777" w:rsidR="00CE452A" w:rsidRPr="000455AC" w:rsidRDefault="00CE452A" w:rsidP="00BD066A">
            <w:pPr>
              <w:jc w:val="right"/>
              <w:rPr>
                <w:lang w:val="da-DK"/>
              </w:rPr>
            </w:pPr>
            <w:r w:rsidRPr="000455AC">
              <w:rPr>
                <w:lang w:val="da-DK"/>
              </w:rPr>
              <w:t>64.016</w:t>
            </w:r>
          </w:p>
        </w:tc>
      </w:tr>
      <w:tr w:rsidR="00CE452A" w:rsidRPr="000455AC" w14:paraId="69E7D612"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1756106" w14:textId="77777777" w:rsidR="00CE452A" w:rsidRPr="000455AC" w:rsidRDefault="00CE452A" w:rsidP="00BD066A">
            <w:pPr>
              <w:rPr>
                <w:lang w:val="da-DK"/>
              </w:rPr>
            </w:pPr>
            <w:r w:rsidRPr="000455AC">
              <w:rPr>
                <w:lang w:val="da-DK"/>
              </w:rPr>
              <w:t>14.</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F17F321"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4D70B8F" w14:textId="77777777" w:rsidR="00CE452A" w:rsidRPr="000455AC" w:rsidRDefault="00CE452A" w:rsidP="00BD066A">
            <w:pPr>
              <w:rPr>
                <w:lang w:val="da-DK"/>
              </w:rPr>
            </w:pPr>
            <w:r w:rsidRPr="000455AC">
              <w:rPr>
                <w:lang w:val="da-DK"/>
              </w:rPr>
              <w:t>Pandora</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8E34D3C" w14:textId="77777777" w:rsidR="00CE452A" w:rsidRPr="000455AC" w:rsidRDefault="00CE452A" w:rsidP="00BD066A">
            <w:pPr>
              <w:rPr>
                <w:lang w:val="da-DK"/>
              </w:rPr>
            </w:pPr>
            <w:r w:rsidRPr="000455AC">
              <w:rPr>
                <w:lang w:val="da-DK"/>
              </w:rPr>
              <w:t>PNDORA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316B9F0" w14:textId="77777777" w:rsidR="00CE452A" w:rsidRPr="000455AC" w:rsidRDefault="00CE452A" w:rsidP="00BD066A">
            <w:pPr>
              <w:jc w:val="right"/>
              <w:rPr>
                <w:lang w:val="da-DK"/>
              </w:rPr>
            </w:pPr>
            <w:r w:rsidRPr="000455AC">
              <w:rPr>
                <w:lang w:val="da-DK"/>
              </w:rPr>
              <w:t>57.080</w:t>
            </w:r>
          </w:p>
        </w:tc>
      </w:tr>
      <w:tr w:rsidR="00CE452A" w:rsidRPr="000455AC" w14:paraId="0D703C48"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E0C5EFB" w14:textId="77777777" w:rsidR="00CE452A" w:rsidRPr="000455AC" w:rsidRDefault="00CE452A" w:rsidP="00BD066A">
            <w:pPr>
              <w:rPr>
                <w:lang w:val="da-DK"/>
              </w:rPr>
            </w:pPr>
            <w:r w:rsidRPr="000455AC">
              <w:rPr>
                <w:lang w:val="da-DK"/>
              </w:rPr>
              <w:t>15.</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BA4B959"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967500B" w14:textId="77777777" w:rsidR="00CE452A" w:rsidRPr="000455AC" w:rsidRDefault="00CE452A" w:rsidP="00BD066A">
            <w:pPr>
              <w:rPr>
                <w:lang w:val="da-DK"/>
              </w:rPr>
            </w:pPr>
            <w:r w:rsidRPr="000455AC">
              <w:rPr>
                <w:lang w:val="da-DK"/>
              </w:rPr>
              <w:t>Chr. Hansen Holding</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B767F20" w14:textId="77777777" w:rsidR="00CE452A" w:rsidRPr="000455AC" w:rsidRDefault="00CE452A" w:rsidP="00BD066A">
            <w:pPr>
              <w:rPr>
                <w:lang w:val="da-DK"/>
              </w:rPr>
            </w:pPr>
            <w:r w:rsidRPr="000455AC">
              <w:rPr>
                <w:lang w:val="da-DK"/>
              </w:rPr>
              <w:t>CHR</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BF7D342" w14:textId="77777777" w:rsidR="00CE452A" w:rsidRPr="000455AC" w:rsidRDefault="00CE452A" w:rsidP="00BD066A">
            <w:pPr>
              <w:jc w:val="right"/>
              <w:rPr>
                <w:lang w:val="da-DK"/>
              </w:rPr>
            </w:pPr>
            <w:r w:rsidRPr="000455AC">
              <w:rPr>
                <w:lang w:val="da-DK"/>
              </w:rPr>
              <w:t>49.209</w:t>
            </w:r>
          </w:p>
        </w:tc>
      </w:tr>
      <w:tr w:rsidR="00CE452A" w:rsidRPr="000455AC" w14:paraId="1F719D19"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5C55D91" w14:textId="77777777" w:rsidR="00CE452A" w:rsidRPr="000455AC" w:rsidRDefault="00CE452A" w:rsidP="00BD066A">
            <w:pPr>
              <w:rPr>
                <w:lang w:val="da-DK"/>
              </w:rPr>
            </w:pPr>
            <w:r w:rsidRPr="000455AC">
              <w:rPr>
                <w:lang w:val="da-DK"/>
              </w:rPr>
              <w:t>16.</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FA33B20"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41FFDFC" w14:textId="77777777" w:rsidR="00CE452A" w:rsidRPr="000455AC" w:rsidRDefault="00CE452A" w:rsidP="00BD066A">
            <w:pPr>
              <w:rPr>
                <w:lang w:val="da-DK"/>
              </w:rPr>
            </w:pPr>
            <w:r w:rsidRPr="000455AC">
              <w:rPr>
                <w:lang w:val="da-DK"/>
              </w:rPr>
              <w:t>Ringkjobing Landbobank</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A5F91B3" w14:textId="77777777" w:rsidR="00CE452A" w:rsidRPr="000455AC" w:rsidRDefault="00CE452A" w:rsidP="00BD066A">
            <w:pPr>
              <w:rPr>
                <w:lang w:val="da-DK"/>
              </w:rPr>
            </w:pPr>
            <w:r w:rsidRPr="000455AC">
              <w:rPr>
                <w:lang w:val="da-DK"/>
              </w:rPr>
              <w:t>RILBA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F65621B" w14:textId="77777777" w:rsidR="00CE452A" w:rsidRPr="000455AC" w:rsidRDefault="00CE452A" w:rsidP="00BD066A">
            <w:pPr>
              <w:jc w:val="right"/>
              <w:rPr>
                <w:lang w:val="da-DK"/>
              </w:rPr>
            </w:pPr>
            <w:r w:rsidRPr="000455AC">
              <w:rPr>
                <w:lang w:val="da-DK"/>
              </w:rPr>
              <w:t>25.055</w:t>
            </w:r>
          </w:p>
        </w:tc>
      </w:tr>
      <w:tr w:rsidR="00CE452A" w:rsidRPr="000455AC" w14:paraId="01B85C3D"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4A48226" w14:textId="77777777" w:rsidR="00CE452A" w:rsidRPr="000455AC" w:rsidRDefault="00CE452A" w:rsidP="00BD066A">
            <w:pPr>
              <w:rPr>
                <w:lang w:val="da-DK"/>
              </w:rPr>
            </w:pPr>
            <w:r w:rsidRPr="000455AC">
              <w:rPr>
                <w:lang w:val="da-DK"/>
              </w:rPr>
              <w:t>17.</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621E33E"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D178988" w14:textId="77777777" w:rsidR="00CE452A" w:rsidRPr="000455AC" w:rsidRDefault="00CE452A" w:rsidP="00BD066A">
            <w:pPr>
              <w:rPr>
                <w:lang w:val="da-DK"/>
              </w:rPr>
            </w:pPr>
            <w:r w:rsidRPr="000455AC">
              <w:rPr>
                <w:lang w:val="da-DK"/>
              </w:rPr>
              <w:t>Jyske Bank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B03EF3C" w14:textId="77777777" w:rsidR="00CE452A" w:rsidRPr="000455AC" w:rsidRDefault="00CE452A" w:rsidP="00BD066A">
            <w:pPr>
              <w:rPr>
                <w:lang w:val="da-DK"/>
              </w:rPr>
            </w:pPr>
            <w:r w:rsidRPr="000455AC">
              <w:rPr>
                <w:lang w:val="da-DK"/>
              </w:rPr>
              <w:t>JYSK</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0FDBFEA" w14:textId="77777777" w:rsidR="00CE452A" w:rsidRPr="000455AC" w:rsidRDefault="00CE452A" w:rsidP="00BD066A">
            <w:pPr>
              <w:jc w:val="right"/>
              <w:rPr>
                <w:lang w:val="da-DK"/>
              </w:rPr>
            </w:pPr>
            <w:r w:rsidRPr="000455AC">
              <w:rPr>
                <w:lang w:val="da-DK"/>
              </w:rPr>
              <w:t>23.239</w:t>
            </w:r>
          </w:p>
        </w:tc>
      </w:tr>
      <w:tr w:rsidR="00CE452A" w:rsidRPr="000455AC" w14:paraId="37E43E58"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8B736AD" w14:textId="77777777" w:rsidR="00CE452A" w:rsidRPr="000455AC" w:rsidRDefault="00CE452A" w:rsidP="00BD066A">
            <w:pPr>
              <w:rPr>
                <w:lang w:val="da-DK"/>
              </w:rPr>
            </w:pPr>
            <w:r w:rsidRPr="000455AC">
              <w:rPr>
                <w:lang w:val="da-DK"/>
              </w:rPr>
              <w:t>18.</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7B94C43"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AAF86C6" w14:textId="77777777" w:rsidR="00CE452A" w:rsidRPr="000455AC" w:rsidRDefault="00CE452A" w:rsidP="00BD066A">
            <w:pPr>
              <w:rPr>
                <w:lang w:val="da-DK"/>
              </w:rPr>
            </w:pPr>
            <w:r w:rsidRPr="000455AC">
              <w:rPr>
                <w:lang w:val="da-DK"/>
              </w:rPr>
              <w:t>Demant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AD22B01" w14:textId="77777777" w:rsidR="00CE452A" w:rsidRPr="000455AC" w:rsidRDefault="00CE452A" w:rsidP="00BD066A">
            <w:pPr>
              <w:rPr>
                <w:lang w:val="da-DK"/>
              </w:rPr>
            </w:pPr>
            <w:r w:rsidRPr="000455AC">
              <w:rPr>
                <w:lang w:val="da-DK"/>
              </w:rPr>
              <w:t>DEMANT</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BC88D5E" w14:textId="77777777" w:rsidR="00CE452A" w:rsidRPr="000455AC" w:rsidRDefault="00CE452A" w:rsidP="00BD066A">
            <w:pPr>
              <w:jc w:val="right"/>
              <w:rPr>
                <w:lang w:val="da-DK"/>
              </w:rPr>
            </w:pPr>
            <w:r w:rsidRPr="000455AC">
              <w:rPr>
                <w:lang w:val="da-DK"/>
              </w:rPr>
              <w:t>22.679</w:t>
            </w:r>
          </w:p>
        </w:tc>
      </w:tr>
      <w:tr w:rsidR="00CE452A" w:rsidRPr="000455AC" w14:paraId="5E3CCEBC"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4A387EB9" w14:textId="77777777" w:rsidR="00CE452A" w:rsidRPr="000455AC" w:rsidRDefault="00CE452A" w:rsidP="00BD066A">
            <w:pPr>
              <w:rPr>
                <w:lang w:val="da-DK"/>
              </w:rPr>
            </w:pPr>
            <w:r w:rsidRPr="000455AC">
              <w:rPr>
                <w:lang w:val="da-DK"/>
              </w:rPr>
              <w:t>19.</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462675B"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E23FA54" w14:textId="77777777" w:rsidR="00CE452A" w:rsidRPr="000455AC" w:rsidRDefault="00CE452A" w:rsidP="00BD066A">
            <w:pPr>
              <w:rPr>
                <w:lang w:val="da-DK"/>
              </w:rPr>
            </w:pPr>
            <w:r w:rsidRPr="000455AC">
              <w:rPr>
                <w:lang w:val="da-DK"/>
              </w:rPr>
              <w:t>Royal UNIBREW</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547547D" w14:textId="77777777" w:rsidR="00CE452A" w:rsidRPr="000455AC" w:rsidRDefault="00CE452A" w:rsidP="00BD066A">
            <w:pPr>
              <w:rPr>
                <w:lang w:val="da-DK"/>
              </w:rPr>
            </w:pPr>
            <w:r w:rsidRPr="000455AC">
              <w:rPr>
                <w:lang w:val="da-DK"/>
              </w:rPr>
              <w:t>RBREW</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C810F82" w14:textId="77777777" w:rsidR="00CE452A" w:rsidRPr="000455AC" w:rsidRDefault="00CE452A" w:rsidP="00BD066A">
            <w:pPr>
              <w:jc w:val="right"/>
              <w:rPr>
                <w:lang w:val="da-DK"/>
              </w:rPr>
            </w:pPr>
            <w:r w:rsidRPr="000455AC">
              <w:rPr>
                <w:lang w:val="da-DK"/>
              </w:rPr>
              <w:t>21.355</w:t>
            </w:r>
          </w:p>
        </w:tc>
      </w:tr>
      <w:tr w:rsidR="00CE452A" w:rsidRPr="000455AC" w14:paraId="095C3B45"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DD3DA56" w14:textId="77777777" w:rsidR="00CE452A" w:rsidRPr="000455AC" w:rsidRDefault="00CE452A" w:rsidP="00BD066A">
            <w:pPr>
              <w:rPr>
                <w:lang w:val="da-DK"/>
              </w:rPr>
            </w:pPr>
            <w:r w:rsidRPr="000455AC">
              <w:rPr>
                <w:lang w:val="da-DK"/>
              </w:rPr>
              <w:t>20.</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36BFF7E"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1354DFC" w14:textId="77777777" w:rsidR="00CE452A" w:rsidRPr="000455AC" w:rsidRDefault="00CE452A" w:rsidP="00BD066A">
            <w:pPr>
              <w:rPr>
                <w:lang w:val="da-DK"/>
              </w:rPr>
            </w:pPr>
            <w:r w:rsidRPr="000455AC">
              <w:rPr>
                <w:lang w:val="da-DK"/>
              </w:rPr>
              <w:t>NKT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4FD5B6A" w14:textId="77777777" w:rsidR="00CE452A" w:rsidRPr="000455AC" w:rsidRDefault="00CE452A" w:rsidP="00BD066A">
            <w:pPr>
              <w:rPr>
                <w:lang w:val="da-DK"/>
              </w:rPr>
            </w:pPr>
            <w:r w:rsidRPr="000455AC">
              <w:rPr>
                <w:lang w:val="da-DK"/>
              </w:rPr>
              <w:t>NKT</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6A8EB6B" w14:textId="77777777" w:rsidR="00CE452A" w:rsidRPr="000455AC" w:rsidRDefault="00CE452A" w:rsidP="00BD066A">
            <w:pPr>
              <w:jc w:val="right"/>
              <w:rPr>
                <w:lang w:val="da-DK"/>
              </w:rPr>
            </w:pPr>
            <w:r w:rsidRPr="000455AC">
              <w:rPr>
                <w:lang w:val="da-DK"/>
              </w:rPr>
              <w:t>18.945</w:t>
            </w:r>
          </w:p>
        </w:tc>
      </w:tr>
      <w:tr w:rsidR="00CE452A" w:rsidRPr="000455AC" w14:paraId="5DCEC5BC"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25A7FEA" w14:textId="77777777" w:rsidR="00CE452A" w:rsidRPr="000455AC" w:rsidRDefault="00CE452A" w:rsidP="00BD066A">
            <w:pPr>
              <w:rPr>
                <w:lang w:val="da-DK"/>
              </w:rPr>
            </w:pPr>
            <w:r w:rsidRPr="000455AC">
              <w:rPr>
                <w:lang w:val="da-DK"/>
              </w:rPr>
              <w:t>21.</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4E9F02D"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DAFC2B8" w14:textId="77777777" w:rsidR="00CE452A" w:rsidRPr="000455AC" w:rsidRDefault="00CE452A" w:rsidP="00BD066A">
            <w:pPr>
              <w:rPr>
                <w:lang w:val="da-DK"/>
              </w:rPr>
            </w:pPr>
            <w:proofErr w:type="gramStart"/>
            <w:r w:rsidRPr="000455AC">
              <w:rPr>
                <w:lang w:val="da-DK"/>
              </w:rPr>
              <w:t>TORM plc</w:t>
            </w:r>
            <w:proofErr w:type="gramEnd"/>
            <w:r w:rsidRPr="000455AC">
              <w:rPr>
                <w:lang w:val="da-DK"/>
              </w:rPr>
              <w:t xml:space="preserve"> A</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ACDD48D" w14:textId="77777777" w:rsidR="00CE452A" w:rsidRPr="000455AC" w:rsidRDefault="00CE452A" w:rsidP="00BD066A">
            <w:pPr>
              <w:rPr>
                <w:lang w:val="da-DK"/>
              </w:rPr>
            </w:pPr>
            <w:r w:rsidRPr="000455AC">
              <w:rPr>
                <w:lang w:val="da-DK"/>
              </w:rPr>
              <w:t>TRMD 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55FF88B" w14:textId="77777777" w:rsidR="00CE452A" w:rsidRPr="000455AC" w:rsidRDefault="00CE452A" w:rsidP="00BD066A">
            <w:pPr>
              <w:jc w:val="right"/>
              <w:rPr>
                <w:lang w:val="da-DK"/>
              </w:rPr>
            </w:pPr>
            <w:r w:rsidRPr="000455AC">
              <w:rPr>
                <w:lang w:val="da-DK"/>
              </w:rPr>
              <w:t>17.976</w:t>
            </w:r>
          </w:p>
        </w:tc>
      </w:tr>
      <w:tr w:rsidR="00CE452A" w:rsidRPr="000455AC" w14:paraId="10324569"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084A3F2" w14:textId="77777777" w:rsidR="00CE452A" w:rsidRPr="000455AC" w:rsidRDefault="00CE452A" w:rsidP="00BD066A">
            <w:pPr>
              <w:rPr>
                <w:lang w:val="da-DK"/>
              </w:rPr>
            </w:pPr>
            <w:r w:rsidRPr="000455AC">
              <w:rPr>
                <w:lang w:val="da-DK"/>
              </w:rPr>
              <w:t>22.</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B927545"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CA9C9A9" w14:textId="77777777" w:rsidR="00CE452A" w:rsidRPr="000455AC" w:rsidRDefault="00CE452A" w:rsidP="00BD066A">
            <w:pPr>
              <w:rPr>
                <w:lang w:val="da-DK"/>
              </w:rPr>
            </w:pPr>
            <w:r w:rsidRPr="000455AC">
              <w:rPr>
                <w:lang w:val="da-DK"/>
              </w:rPr>
              <w:t>Zealand Pharma</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AA19F5" w14:textId="77777777" w:rsidR="00CE452A" w:rsidRPr="000455AC" w:rsidRDefault="00CE452A" w:rsidP="00BD066A">
            <w:pPr>
              <w:rPr>
                <w:lang w:val="da-DK"/>
              </w:rPr>
            </w:pPr>
            <w:r w:rsidRPr="000455AC">
              <w:rPr>
                <w:lang w:val="da-DK"/>
              </w:rPr>
              <w:t>ZEAL</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0B2A35E" w14:textId="77777777" w:rsidR="00CE452A" w:rsidRPr="000455AC" w:rsidRDefault="00CE452A" w:rsidP="00BD066A">
            <w:pPr>
              <w:jc w:val="right"/>
              <w:rPr>
                <w:lang w:val="da-DK"/>
              </w:rPr>
            </w:pPr>
            <w:r w:rsidRPr="000455AC">
              <w:rPr>
                <w:lang w:val="da-DK"/>
              </w:rPr>
              <w:t>16.932</w:t>
            </w:r>
          </w:p>
        </w:tc>
      </w:tr>
      <w:tr w:rsidR="00CE452A" w:rsidRPr="000455AC" w14:paraId="476FB254"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39D9526" w14:textId="77777777" w:rsidR="00CE452A" w:rsidRPr="000455AC" w:rsidRDefault="00CE452A" w:rsidP="00BD066A">
            <w:pPr>
              <w:rPr>
                <w:lang w:val="da-DK"/>
              </w:rPr>
            </w:pPr>
            <w:r w:rsidRPr="000455AC">
              <w:rPr>
                <w:lang w:val="da-DK"/>
              </w:rPr>
              <w:t>23.</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F6FC1FF"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D7242C1" w14:textId="77777777" w:rsidR="00CE452A" w:rsidRPr="000455AC" w:rsidRDefault="00CE452A" w:rsidP="00BD066A">
            <w:pPr>
              <w:rPr>
                <w:lang w:val="en-US"/>
              </w:rPr>
            </w:pPr>
            <w:r w:rsidRPr="000455AC">
              <w:rPr>
                <w:lang w:val="en-US"/>
              </w:rPr>
              <w:t>Rockwool A/S ser.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377CE57" w14:textId="77777777" w:rsidR="00CE452A" w:rsidRPr="000455AC" w:rsidRDefault="00CE452A" w:rsidP="00BD066A">
            <w:pPr>
              <w:rPr>
                <w:lang w:val="da-DK"/>
              </w:rPr>
            </w:pPr>
            <w:r w:rsidRPr="000455AC">
              <w:rPr>
                <w:lang w:val="da-DK"/>
              </w:rPr>
              <w:t>ROCK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633AC8F" w14:textId="77777777" w:rsidR="00CE452A" w:rsidRPr="000455AC" w:rsidRDefault="00CE452A" w:rsidP="00BD066A">
            <w:pPr>
              <w:jc w:val="right"/>
              <w:rPr>
                <w:lang w:val="da-DK"/>
              </w:rPr>
            </w:pPr>
            <w:r w:rsidRPr="000455AC">
              <w:rPr>
                <w:lang w:val="da-DK"/>
              </w:rPr>
              <w:t>16.842</w:t>
            </w:r>
          </w:p>
        </w:tc>
      </w:tr>
      <w:tr w:rsidR="00CE452A" w:rsidRPr="000455AC" w14:paraId="1EE062FC"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3192C31" w14:textId="77777777" w:rsidR="00CE452A" w:rsidRPr="000455AC" w:rsidRDefault="00CE452A" w:rsidP="00BD066A">
            <w:pPr>
              <w:rPr>
                <w:lang w:val="da-DK"/>
              </w:rPr>
            </w:pPr>
            <w:r w:rsidRPr="000455AC">
              <w:rPr>
                <w:lang w:val="da-DK"/>
              </w:rPr>
              <w:t>24.</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7C107F4"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35ADF4D" w14:textId="77777777" w:rsidR="00CE452A" w:rsidRPr="000455AC" w:rsidRDefault="00CE452A" w:rsidP="00BD066A">
            <w:pPr>
              <w:rPr>
                <w:lang w:val="en-US"/>
              </w:rPr>
            </w:pPr>
            <w:r w:rsidRPr="000455AC">
              <w:rPr>
                <w:lang w:val="en-US"/>
              </w:rPr>
              <w:t>Rockwool A/S ser. A</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03567A3" w14:textId="77777777" w:rsidR="00CE452A" w:rsidRPr="000455AC" w:rsidRDefault="00CE452A" w:rsidP="00BD066A">
            <w:pPr>
              <w:rPr>
                <w:lang w:val="da-DK"/>
              </w:rPr>
            </w:pPr>
            <w:r w:rsidRPr="000455AC">
              <w:rPr>
                <w:lang w:val="da-DK"/>
              </w:rPr>
              <w:t>ROCK 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BD5A9D1" w14:textId="77777777" w:rsidR="00CE452A" w:rsidRPr="000455AC" w:rsidRDefault="00CE452A" w:rsidP="00BD066A">
            <w:pPr>
              <w:jc w:val="right"/>
              <w:rPr>
                <w:lang w:val="da-DK"/>
              </w:rPr>
            </w:pPr>
            <w:r w:rsidRPr="000455AC">
              <w:rPr>
                <w:lang w:val="da-DK"/>
              </w:rPr>
              <w:t>16.819</w:t>
            </w:r>
          </w:p>
        </w:tc>
      </w:tr>
      <w:tr w:rsidR="00CE452A" w:rsidRPr="000455AC" w14:paraId="4C1FE94C"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1422FE5" w14:textId="77777777" w:rsidR="00CE452A" w:rsidRPr="000455AC" w:rsidRDefault="00CE452A" w:rsidP="00BD066A">
            <w:pPr>
              <w:rPr>
                <w:lang w:val="da-DK"/>
              </w:rPr>
            </w:pPr>
            <w:r w:rsidRPr="000455AC">
              <w:rPr>
                <w:lang w:val="da-DK"/>
              </w:rPr>
              <w:t>25.</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3342F93"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411C38B" w14:textId="77777777" w:rsidR="00CE452A" w:rsidRPr="000455AC" w:rsidRDefault="00CE452A" w:rsidP="00BD066A">
            <w:pPr>
              <w:rPr>
                <w:lang w:val="da-DK"/>
              </w:rPr>
            </w:pPr>
            <w:r w:rsidRPr="000455AC">
              <w:rPr>
                <w:lang w:val="da-DK"/>
              </w:rPr>
              <w:t>Sydbank</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875443" w14:textId="77777777" w:rsidR="00CE452A" w:rsidRPr="000455AC" w:rsidRDefault="00CE452A" w:rsidP="00BD066A">
            <w:pPr>
              <w:rPr>
                <w:lang w:val="da-DK"/>
              </w:rPr>
            </w:pPr>
            <w:r w:rsidRPr="000455AC">
              <w:rPr>
                <w:lang w:val="da-DK"/>
              </w:rPr>
              <w:t>SYDB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AB8519E" w14:textId="77777777" w:rsidR="00CE452A" w:rsidRPr="000455AC" w:rsidRDefault="00CE452A" w:rsidP="00BD066A">
            <w:pPr>
              <w:jc w:val="right"/>
              <w:rPr>
                <w:lang w:val="da-DK"/>
              </w:rPr>
            </w:pPr>
            <w:r w:rsidRPr="000455AC">
              <w:rPr>
                <w:lang w:val="da-DK"/>
              </w:rPr>
              <w:t>16.766</w:t>
            </w:r>
          </w:p>
        </w:tc>
      </w:tr>
      <w:tr w:rsidR="00CE452A" w:rsidRPr="000455AC" w14:paraId="628B2BDA"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F45ECB6" w14:textId="77777777" w:rsidR="00CE452A" w:rsidRPr="000455AC" w:rsidRDefault="00CE452A" w:rsidP="00BD066A">
            <w:pPr>
              <w:rPr>
                <w:lang w:val="da-DK"/>
              </w:rPr>
            </w:pPr>
            <w:r w:rsidRPr="000455AC">
              <w:rPr>
                <w:lang w:val="da-DK"/>
              </w:rPr>
              <w:t>26.</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96F5BB"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25DEB44" w14:textId="77777777" w:rsidR="00CE452A" w:rsidRPr="000455AC" w:rsidRDefault="00CE452A" w:rsidP="00BD066A">
            <w:pPr>
              <w:rPr>
                <w:lang w:val="da-DK"/>
              </w:rPr>
            </w:pPr>
            <w:r w:rsidRPr="000455AC">
              <w:rPr>
                <w:lang w:val="da-DK"/>
              </w:rPr>
              <w:t>GN Store Nord</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174B7F" w14:textId="77777777" w:rsidR="00CE452A" w:rsidRPr="000455AC" w:rsidRDefault="00CE452A" w:rsidP="00BD066A">
            <w:pPr>
              <w:rPr>
                <w:lang w:val="da-DK"/>
              </w:rPr>
            </w:pPr>
            <w:r w:rsidRPr="000455AC">
              <w:rPr>
                <w:lang w:val="da-DK"/>
              </w:rPr>
              <w:t>GN</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0B81F06" w14:textId="77777777" w:rsidR="00CE452A" w:rsidRPr="000455AC" w:rsidRDefault="00CE452A" w:rsidP="00BD066A">
            <w:pPr>
              <w:jc w:val="right"/>
              <w:rPr>
                <w:lang w:val="da-DK"/>
              </w:rPr>
            </w:pPr>
            <w:r w:rsidRPr="000455AC">
              <w:rPr>
                <w:lang w:val="da-DK"/>
              </w:rPr>
              <w:t>16.411</w:t>
            </w:r>
          </w:p>
        </w:tc>
      </w:tr>
      <w:tr w:rsidR="00CE452A" w:rsidRPr="000455AC" w14:paraId="40E6E1CE"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01E4202" w14:textId="77777777" w:rsidR="00CE452A" w:rsidRPr="000455AC" w:rsidRDefault="00CE452A" w:rsidP="00BD066A">
            <w:pPr>
              <w:rPr>
                <w:lang w:val="da-DK"/>
              </w:rPr>
            </w:pPr>
            <w:r w:rsidRPr="000455AC">
              <w:rPr>
                <w:lang w:val="da-DK"/>
              </w:rPr>
              <w:t>27.</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3D70B35"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BD5F135" w14:textId="77777777" w:rsidR="00CE452A" w:rsidRPr="000455AC" w:rsidRDefault="00CE452A" w:rsidP="00BD066A">
            <w:pPr>
              <w:rPr>
                <w:lang w:val="da-DK"/>
              </w:rPr>
            </w:pPr>
            <w:r w:rsidRPr="000455AC">
              <w:rPr>
                <w:lang w:val="da-DK"/>
              </w:rPr>
              <w:t>ISS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99348F4" w14:textId="77777777" w:rsidR="00CE452A" w:rsidRPr="000455AC" w:rsidRDefault="00CE452A" w:rsidP="00BD066A">
            <w:pPr>
              <w:rPr>
                <w:lang w:val="da-DK"/>
              </w:rPr>
            </w:pPr>
            <w:r w:rsidRPr="000455AC">
              <w:rPr>
                <w:lang w:val="da-DK"/>
              </w:rPr>
              <w:t>ISS</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62BC84" w14:textId="77777777" w:rsidR="00CE452A" w:rsidRPr="000455AC" w:rsidRDefault="00CE452A" w:rsidP="00BD066A">
            <w:pPr>
              <w:jc w:val="right"/>
              <w:rPr>
                <w:lang w:val="da-DK"/>
              </w:rPr>
            </w:pPr>
            <w:r w:rsidRPr="000455AC">
              <w:rPr>
                <w:lang w:val="da-DK"/>
              </w:rPr>
              <w:t>15.656</w:t>
            </w:r>
          </w:p>
        </w:tc>
      </w:tr>
      <w:tr w:rsidR="00CE452A" w:rsidRPr="000455AC" w14:paraId="08606890"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4716B1B" w14:textId="77777777" w:rsidR="00CE452A" w:rsidRPr="000455AC" w:rsidRDefault="00CE452A" w:rsidP="00BD066A">
            <w:pPr>
              <w:rPr>
                <w:lang w:val="da-DK"/>
              </w:rPr>
            </w:pPr>
            <w:r w:rsidRPr="000455AC">
              <w:rPr>
                <w:lang w:val="da-DK"/>
              </w:rPr>
              <w:t>28.</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E26F1C1"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7155832" w14:textId="77777777" w:rsidR="00CE452A" w:rsidRPr="000455AC" w:rsidRDefault="00CE452A" w:rsidP="00BD066A">
            <w:pPr>
              <w:rPr>
                <w:lang w:val="da-DK"/>
              </w:rPr>
            </w:pPr>
            <w:r w:rsidRPr="000455AC">
              <w:rPr>
                <w:lang w:val="da-DK"/>
              </w:rPr>
              <w:t>FLSmidth &amp; Co.</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8E56343" w14:textId="77777777" w:rsidR="00CE452A" w:rsidRPr="000455AC" w:rsidRDefault="00CE452A" w:rsidP="00BD066A">
            <w:pPr>
              <w:rPr>
                <w:lang w:val="da-DK"/>
              </w:rPr>
            </w:pPr>
            <w:r w:rsidRPr="000455AC">
              <w:rPr>
                <w:lang w:val="da-DK"/>
              </w:rPr>
              <w:t>FLS</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31DC6CC" w14:textId="77777777" w:rsidR="00CE452A" w:rsidRPr="000455AC" w:rsidRDefault="00CE452A" w:rsidP="00BD066A">
            <w:pPr>
              <w:jc w:val="right"/>
              <w:rPr>
                <w:lang w:val="da-DK"/>
              </w:rPr>
            </w:pPr>
            <w:r w:rsidRPr="000455AC">
              <w:rPr>
                <w:lang w:val="da-DK"/>
              </w:rPr>
              <w:t>14.733</w:t>
            </w:r>
          </w:p>
        </w:tc>
      </w:tr>
      <w:tr w:rsidR="00CE452A" w:rsidRPr="000455AC" w14:paraId="665E9F18"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59817BA" w14:textId="77777777" w:rsidR="00CE452A" w:rsidRPr="000455AC" w:rsidRDefault="00CE452A" w:rsidP="00BD066A">
            <w:pPr>
              <w:rPr>
                <w:lang w:val="da-DK"/>
              </w:rPr>
            </w:pPr>
            <w:r w:rsidRPr="000455AC">
              <w:rPr>
                <w:lang w:val="da-DK"/>
              </w:rPr>
              <w:t>29.</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6D33C58"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0BEECE3" w14:textId="77777777" w:rsidR="00CE452A" w:rsidRPr="000455AC" w:rsidRDefault="00CE452A" w:rsidP="00BD066A">
            <w:pPr>
              <w:rPr>
                <w:lang w:val="da-DK"/>
              </w:rPr>
            </w:pPr>
            <w:r w:rsidRPr="000455AC">
              <w:rPr>
                <w:lang w:val="da-DK"/>
              </w:rPr>
              <w:t>Topdanmark</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792900A" w14:textId="77777777" w:rsidR="00CE452A" w:rsidRPr="000455AC" w:rsidRDefault="00CE452A" w:rsidP="00BD066A">
            <w:pPr>
              <w:rPr>
                <w:lang w:val="da-DK"/>
              </w:rPr>
            </w:pPr>
            <w:r w:rsidRPr="000455AC">
              <w:rPr>
                <w:lang w:val="da-DK"/>
              </w:rPr>
              <w:t>TOP</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CACA5B9" w14:textId="77777777" w:rsidR="00CE452A" w:rsidRPr="000455AC" w:rsidRDefault="00CE452A" w:rsidP="00BD066A">
            <w:pPr>
              <w:jc w:val="right"/>
              <w:rPr>
                <w:lang w:val="da-DK"/>
              </w:rPr>
            </w:pPr>
            <w:r w:rsidRPr="000455AC">
              <w:rPr>
                <w:lang w:val="da-DK"/>
              </w:rPr>
              <w:t>14.009</w:t>
            </w:r>
          </w:p>
        </w:tc>
      </w:tr>
      <w:tr w:rsidR="00CE452A" w:rsidRPr="000455AC" w14:paraId="30D6A52D"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70A4358" w14:textId="77777777" w:rsidR="00CE452A" w:rsidRPr="000455AC" w:rsidRDefault="00CE452A" w:rsidP="00BD066A">
            <w:pPr>
              <w:rPr>
                <w:lang w:val="da-DK"/>
              </w:rPr>
            </w:pPr>
            <w:r w:rsidRPr="000455AC">
              <w:rPr>
                <w:lang w:val="da-DK"/>
              </w:rPr>
              <w:t>30.</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FC668D3"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9B04909" w14:textId="77777777" w:rsidR="00CE452A" w:rsidRPr="000455AC" w:rsidRDefault="00CE452A" w:rsidP="00BD066A">
            <w:pPr>
              <w:rPr>
                <w:lang w:val="da-DK"/>
              </w:rPr>
            </w:pPr>
            <w:r w:rsidRPr="000455AC">
              <w:rPr>
                <w:lang w:val="da-DK"/>
              </w:rPr>
              <w:t>Ambu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AEEA4B4" w14:textId="77777777" w:rsidR="00CE452A" w:rsidRPr="000455AC" w:rsidRDefault="00CE452A" w:rsidP="00BD066A">
            <w:pPr>
              <w:rPr>
                <w:lang w:val="da-DK"/>
              </w:rPr>
            </w:pPr>
            <w:r w:rsidRPr="000455AC">
              <w:rPr>
                <w:lang w:val="da-DK"/>
              </w:rPr>
              <w:t>AMBU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0315D56" w14:textId="77777777" w:rsidR="00CE452A" w:rsidRPr="000455AC" w:rsidRDefault="00CE452A" w:rsidP="00BD066A">
            <w:pPr>
              <w:jc w:val="right"/>
              <w:rPr>
                <w:lang w:val="da-DK"/>
              </w:rPr>
            </w:pPr>
            <w:r w:rsidRPr="000455AC">
              <w:rPr>
                <w:lang w:val="da-DK"/>
              </w:rPr>
              <w:t>11.960</w:t>
            </w:r>
          </w:p>
        </w:tc>
      </w:tr>
      <w:tr w:rsidR="00CE452A" w:rsidRPr="000455AC" w14:paraId="3A103636"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58B8FC8" w14:textId="77777777" w:rsidR="00CE452A" w:rsidRPr="000455AC" w:rsidRDefault="00CE452A" w:rsidP="00BD066A">
            <w:pPr>
              <w:rPr>
                <w:lang w:val="da-DK"/>
              </w:rPr>
            </w:pPr>
            <w:r w:rsidRPr="000455AC">
              <w:rPr>
                <w:lang w:val="da-DK"/>
              </w:rPr>
              <w:t>31.</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617BCBB"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7B019F1" w14:textId="77777777" w:rsidR="00CE452A" w:rsidRPr="000455AC" w:rsidRDefault="00CE452A" w:rsidP="00BD066A">
            <w:pPr>
              <w:rPr>
                <w:lang w:val="da-DK"/>
              </w:rPr>
            </w:pPr>
            <w:r w:rsidRPr="000455AC">
              <w:rPr>
                <w:lang w:val="da-DK"/>
              </w:rPr>
              <w:t>Bavarian Nordic</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9DFFB61" w14:textId="77777777" w:rsidR="00CE452A" w:rsidRPr="000455AC" w:rsidRDefault="00CE452A" w:rsidP="00BD066A">
            <w:pPr>
              <w:rPr>
                <w:lang w:val="da-DK"/>
              </w:rPr>
            </w:pPr>
            <w:r w:rsidRPr="000455AC">
              <w:rPr>
                <w:lang w:val="da-DK"/>
              </w:rPr>
              <w:t>BAVA</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0BBA75C" w14:textId="77777777" w:rsidR="00CE452A" w:rsidRPr="000455AC" w:rsidRDefault="00CE452A" w:rsidP="00BD066A">
            <w:pPr>
              <w:jc w:val="right"/>
              <w:rPr>
                <w:lang w:val="da-DK"/>
              </w:rPr>
            </w:pPr>
            <w:r w:rsidRPr="000455AC">
              <w:rPr>
                <w:lang w:val="da-DK"/>
              </w:rPr>
              <w:t>10.409</w:t>
            </w:r>
          </w:p>
        </w:tc>
      </w:tr>
      <w:tr w:rsidR="00CE452A" w:rsidRPr="000455AC" w14:paraId="44EBE2AA"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AFC7B87" w14:textId="77777777" w:rsidR="00CE452A" w:rsidRPr="000455AC" w:rsidRDefault="00CE452A" w:rsidP="00BD066A">
            <w:pPr>
              <w:rPr>
                <w:lang w:val="da-DK"/>
              </w:rPr>
            </w:pPr>
            <w:r w:rsidRPr="000455AC">
              <w:rPr>
                <w:lang w:val="da-DK"/>
              </w:rPr>
              <w:t>32.</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31BBB0A"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9E35609" w14:textId="77777777" w:rsidR="00CE452A" w:rsidRPr="000455AC" w:rsidRDefault="00CE452A" w:rsidP="00BD066A">
            <w:pPr>
              <w:rPr>
                <w:lang w:val="da-DK"/>
              </w:rPr>
            </w:pPr>
            <w:r w:rsidRPr="000455AC">
              <w:rPr>
                <w:lang w:val="da-DK"/>
              </w:rPr>
              <w:t>ALK-Abello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1686438" w14:textId="77777777" w:rsidR="00CE452A" w:rsidRPr="000455AC" w:rsidRDefault="00CE452A" w:rsidP="00BD066A">
            <w:pPr>
              <w:rPr>
                <w:lang w:val="da-DK"/>
              </w:rPr>
            </w:pPr>
            <w:r w:rsidRPr="000455AC">
              <w:rPr>
                <w:lang w:val="da-DK"/>
              </w:rPr>
              <w:t>ALK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CD9A716" w14:textId="77777777" w:rsidR="00CE452A" w:rsidRPr="000455AC" w:rsidRDefault="00CE452A" w:rsidP="00BD066A">
            <w:pPr>
              <w:jc w:val="right"/>
              <w:rPr>
                <w:lang w:val="da-DK"/>
              </w:rPr>
            </w:pPr>
            <w:r w:rsidRPr="000455AC">
              <w:rPr>
                <w:lang w:val="da-DK"/>
              </w:rPr>
              <w:t>10.188</w:t>
            </w:r>
          </w:p>
        </w:tc>
      </w:tr>
      <w:tr w:rsidR="00CE452A" w:rsidRPr="000455AC" w14:paraId="70E164C9" w14:textId="77777777" w:rsidTr="00BD066A">
        <w:trPr>
          <w:trHeight w:val="25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8636E59" w14:textId="77777777" w:rsidR="00CE452A" w:rsidRPr="000455AC" w:rsidRDefault="00CE452A" w:rsidP="00BD066A">
            <w:pPr>
              <w:rPr>
                <w:lang w:val="da-DK"/>
              </w:rPr>
            </w:pPr>
            <w:r w:rsidRPr="000455AC">
              <w:rPr>
                <w:lang w:val="da-DK"/>
              </w:rPr>
              <w:t>33.</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98D16F7"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4B6B1EA" w14:textId="77777777" w:rsidR="00CE452A" w:rsidRPr="000455AC" w:rsidRDefault="00CE452A" w:rsidP="00BD066A">
            <w:pPr>
              <w:rPr>
                <w:lang w:val="da-DK"/>
              </w:rPr>
            </w:pPr>
            <w:r w:rsidRPr="000455AC">
              <w:rPr>
                <w:lang w:val="da-DK"/>
              </w:rPr>
              <w:t>Netcompany Group A/S</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FD4099D" w14:textId="77777777" w:rsidR="00CE452A" w:rsidRPr="000455AC" w:rsidRDefault="00CE452A" w:rsidP="00BD066A">
            <w:pPr>
              <w:rPr>
                <w:lang w:val="da-DK"/>
              </w:rPr>
            </w:pPr>
            <w:r w:rsidRPr="000455AC">
              <w:rPr>
                <w:lang w:val="da-DK"/>
              </w:rPr>
              <w:t>NETC</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481C14D" w14:textId="77777777" w:rsidR="00CE452A" w:rsidRPr="000455AC" w:rsidRDefault="00CE452A" w:rsidP="00BD066A">
            <w:pPr>
              <w:jc w:val="right"/>
              <w:rPr>
                <w:lang w:val="da-DK"/>
              </w:rPr>
            </w:pPr>
            <w:r w:rsidRPr="000455AC">
              <w:rPr>
                <w:lang w:val="da-DK"/>
              </w:rPr>
              <w:t>9.714</w:t>
            </w:r>
          </w:p>
        </w:tc>
      </w:tr>
      <w:tr w:rsidR="00CE452A" w:rsidRPr="000455AC" w14:paraId="49B35B16" w14:textId="77777777" w:rsidTr="00BD066A">
        <w:trPr>
          <w:trHeight w:val="265"/>
        </w:trPr>
        <w:tc>
          <w:tcPr>
            <w:tcW w:w="539"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1E46D9B" w14:textId="77777777" w:rsidR="00CE452A" w:rsidRPr="000455AC" w:rsidRDefault="00CE452A" w:rsidP="00BD066A">
            <w:pPr>
              <w:rPr>
                <w:lang w:val="da-DK"/>
              </w:rPr>
            </w:pPr>
            <w:r w:rsidRPr="000455AC">
              <w:rPr>
                <w:lang w:val="da-DK"/>
              </w:rPr>
              <w:t>34.</w:t>
            </w:r>
          </w:p>
        </w:tc>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34D8D15" w14:textId="77777777" w:rsidR="00CE452A" w:rsidRPr="000455AC" w:rsidRDefault="00CE452A" w:rsidP="00BD066A">
            <w:pPr>
              <w:rPr>
                <w:lang w:val="da-DK"/>
              </w:rPr>
            </w:pPr>
          </w:p>
        </w:tc>
        <w:tc>
          <w:tcPr>
            <w:tcW w:w="26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12A13D4" w14:textId="77777777" w:rsidR="00CE452A" w:rsidRPr="000455AC" w:rsidRDefault="00CE452A" w:rsidP="00BD066A">
            <w:pPr>
              <w:rPr>
                <w:lang w:val="en-US"/>
              </w:rPr>
            </w:pPr>
            <w:r w:rsidRPr="000455AC">
              <w:rPr>
                <w:lang w:val="en-US"/>
              </w:rPr>
              <w:t>H. LUNDBECK A/S B</w:t>
            </w:r>
          </w:p>
        </w:tc>
        <w:tc>
          <w:tcPr>
            <w:tcW w:w="1478"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6478482" w14:textId="77777777" w:rsidR="00CE452A" w:rsidRPr="000455AC" w:rsidRDefault="00CE452A" w:rsidP="00BD066A">
            <w:pPr>
              <w:rPr>
                <w:lang w:val="da-DK"/>
              </w:rPr>
            </w:pPr>
            <w:r w:rsidRPr="000455AC">
              <w:rPr>
                <w:lang w:val="da-DK"/>
              </w:rPr>
              <w:t>HLUN B</w:t>
            </w:r>
          </w:p>
        </w:tc>
        <w:tc>
          <w:tcPr>
            <w:tcW w:w="3689"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0B34D91" w14:textId="77777777" w:rsidR="00CE452A" w:rsidRPr="000455AC" w:rsidRDefault="00CE452A" w:rsidP="00BD066A">
            <w:pPr>
              <w:jc w:val="right"/>
              <w:rPr>
                <w:lang w:val="da-DK"/>
              </w:rPr>
            </w:pPr>
            <w:r w:rsidRPr="000455AC">
              <w:rPr>
                <w:lang w:val="da-DK"/>
              </w:rPr>
              <w:t>9.565</w:t>
            </w:r>
          </w:p>
        </w:tc>
      </w:tr>
      <w:tr w:rsidR="00CE452A" w:rsidRPr="000455AC" w14:paraId="7DB2EFD1" w14:textId="77777777" w:rsidTr="00BD066A">
        <w:trPr>
          <w:trHeight w:val="255"/>
        </w:trPr>
        <w:tc>
          <w:tcPr>
            <w:tcW w:w="539" w:type="dxa"/>
            <w:tcBorders>
              <w:top w:val="single" w:sz="4" w:space="0" w:color="FFFFFF"/>
              <w:left w:val="nil"/>
              <w:bottom w:val="single" w:sz="4" w:space="0" w:color="000000"/>
              <w:right w:val="nil"/>
            </w:tcBorders>
            <w:shd w:val="clear" w:color="auto" w:fill="auto"/>
            <w:tcMar>
              <w:top w:w="15" w:type="dxa"/>
              <w:left w:w="70" w:type="dxa"/>
              <w:bottom w:w="0" w:type="dxa"/>
              <w:right w:w="70" w:type="dxa"/>
            </w:tcMar>
            <w:vAlign w:val="bottom"/>
            <w:hideMark/>
          </w:tcPr>
          <w:p w14:paraId="00BA49AA" w14:textId="77777777" w:rsidR="00CE452A" w:rsidRPr="000455AC" w:rsidRDefault="00CE452A" w:rsidP="00BD066A">
            <w:pPr>
              <w:rPr>
                <w:lang w:val="da-DK"/>
              </w:rPr>
            </w:pPr>
            <w:r w:rsidRPr="000455AC">
              <w:rPr>
                <w:lang w:val="da-DK"/>
              </w:rPr>
              <w:t>35.</w:t>
            </w:r>
          </w:p>
        </w:tc>
        <w:tc>
          <w:tcPr>
            <w:tcW w:w="201"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05A8BD1A" w14:textId="77777777" w:rsidR="00CE452A" w:rsidRPr="000455AC" w:rsidRDefault="00CE452A" w:rsidP="00BD066A">
            <w:pPr>
              <w:rPr>
                <w:lang w:val="da-DK"/>
              </w:rPr>
            </w:pPr>
          </w:p>
        </w:tc>
        <w:tc>
          <w:tcPr>
            <w:tcW w:w="2653"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356B46B8" w14:textId="77777777" w:rsidR="00CE452A" w:rsidRPr="000455AC" w:rsidRDefault="00CE452A" w:rsidP="00BD066A">
            <w:pPr>
              <w:rPr>
                <w:lang w:val="da-DK"/>
              </w:rPr>
            </w:pPr>
            <w:r w:rsidRPr="000455AC">
              <w:rPr>
                <w:lang w:val="da-DK"/>
              </w:rPr>
              <w:t>Alm. Brand</w:t>
            </w:r>
          </w:p>
        </w:tc>
        <w:tc>
          <w:tcPr>
            <w:tcW w:w="1478"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6F84CFA0" w14:textId="77777777" w:rsidR="00CE452A" w:rsidRPr="000455AC" w:rsidRDefault="00CE452A" w:rsidP="00BD066A">
            <w:pPr>
              <w:rPr>
                <w:lang w:val="da-DK"/>
              </w:rPr>
            </w:pPr>
            <w:r w:rsidRPr="000455AC">
              <w:rPr>
                <w:lang w:val="da-DK"/>
              </w:rPr>
              <w:t>ALMB</w:t>
            </w:r>
          </w:p>
        </w:tc>
        <w:tc>
          <w:tcPr>
            <w:tcW w:w="3689"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551E125A" w14:textId="77777777" w:rsidR="00CE452A" w:rsidRPr="000455AC" w:rsidRDefault="00CE452A" w:rsidP="00BD066A">
            <w:pPr>
              <w:jc w:val="right"/>
              <w:rPr>
                <w:lang w:val="da-DK"/>
              </w:rPr>
            </w:pPr>
            <w:r w:rsidRPr="000455AC">
              <w:rPr>
                <w:lang w:val="da-DK"/>
              </w:rPr>
              <w:t>8.370</w:t>
            </w:r>
          </w:p>
        </w:tc>
      </w:tr>
    </w:tbl>
    <w:p w14:paraId="1532D2A7" w14:textId="77777777" w:rsidR="000D54DB" w:rsidRDefault="000D54DB">
      <w:pPr>
        <w:rPr>
          <w:lang w:val="da-DK"/>
        </w:rPr>
      </w:pPr>
    </w:p>
    <w:p w14:paraId="53BF5C4B" w14:textId="77777777" w:rsidR="00CE452A" w:rsidRDefault="00CE452A" w:rsidP="00CE452A">
      <w:r w:rsidRPr="00CE452A">
        <w:rPr>
          <w:color w:val="FF2B83"/>
        </w:rPr>
        <w:t xml:space="preserve">Figur 2: </w:t>
      </w:r>
      <w:r w:rsidRPr="00CE452A">
        <w:t xml:space="preserve">De 30 selskaber med den </w:t>
      </w:r>
      <w:r w:rsidRPr="00CE452A">
        <w:rPr>
          <w:color w:val="FF2B83"/>
        </w:rPr>
        <w:t>største akkumulerede omsætning</w:t>
      </w:r>
      <w:r w:rsidRPr="00CE452A">
        <w:t xml:space="preserve"> i refenceperioden per 17/11 2023.</w:t>
      </w:r>
    </w:p>
    <w:p w14:paraId="6FDDA5CC" w14:textId="402687B4" w:rsidR="00A54963" w:rsidRPr="00CE452A" w:rsidRDefault="00A54963" w:rsidP="00CE452A">
      <w:r>
        <w:lastRenderedPageBreak/>
        <w:t>Kilde: Yahoo finance</w:t>
      </w:r>
      <w:r w:rsidR="00EC2011">
        <w:t>, egen tilvirkning</w:t>
      </w:r>
    </w:p>
    <w:p w14:paraId="6F448315" w14:textId="77777777" w:rsidR="00CE452A" w:rsidRDefault="00CE452A" w:rsidP="00CE452A"/>
    <w:tbl>
      <w:tblPr>
        <w:tblW w:w="8560" w:type="dxa"/>
        <w:tblCellMar>
          <w:left w:w="0" w:type="dxa"/>
          <w:right w:w="0" w:type="dxa"/>
        </w:tblCellMar>
        <w:tblLook w:val="0400" w:firstRow="0" w:lastRow="0" w:firstColumn="0" w:lastColumn="0" w:noHBand="0" w:noVBand="1"/>
      </w:tblPr>
      <w:tblGrid>
        <w:gridCol w:w="539"/>
        <w:gridCol w:w="201"/>
        <w:gridCol w:w="2654"/>
        <w:gridCol w:w="1478"/>
        <w:gridCol w:w="3688"/>
      </w:tblGrid>
      <w:tr w:rsidR="00CE452A" w:rsidRPr="000455AC" w14:paraId="6727DC6D" w14:textId="77777777" w:rsidTr="00BD066A">
        <w:trPr>
          <w:trHeight w:val="255"/>
        </w:trPr>
        <w:tc>
          <w:tcPr>
            <w:tcW w:w="540"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3265B4AA" w14:textId="77777777" w:rsidR="00CE452A" w:rsidRPr="000455AC" w:rsidRDefault="00CE452A" w:rsidP="00BD066A">
            <w:pPr>
              <w:rPr>
                <w:lang w:val="da-DK"/>
              </w:rPr>
            </w:pPr>
            <w:r w:rsidRPr="000455AC">
              <w:rPr>
                <w:lang w:val="en-US"/>
              </w:rPr>
              <w:t>#</w:t>
            </w:r>
          </w:p>
        </w:tc>
        <w:tc>
          <w:tcPr>
            <w:tcW w:w="180"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02D0B74D" w14:textId="77777777" w:rsidR="00CE452A" w:rsidRPr="000455AC" w:rsidRDefault="00CE452A" w:rsidP="00BD066A">
            <w:pPr>
              <w:rPr>
                <w:lang w:val="da-DK"/>
              </w:rPr>
            </w:pPr>
          </w:p>
        </w:tc>
        <w:tc>
          <w:tcPr>
            <w:tcW w:w="2660"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1C14BAC6" w14:textId="77777777" w:rsidR="00CE452A" w:rsidRPr="000455AC" w:rsidRDefault="00CE452A" w:rsidP="00BD066A">
            <w:pPr>
              <w:rPr>
                <w:lang w:val="da-DK"/>
              </w:rPr>
            </w:pPr>
            <w:r w:rsidRPr="000455AC">
              <w:rPr>
                <w:b/>
                <w:bCs/>
                <w:lang w:val="en-US"/>
              </w:rPr>
              <w:t>Aktie</w:t>
            </w:r>
          </w:p>
        </w:tc>
        <w:tc>
          <w:tcPr>
            <w:tcW w:w="1480"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24E0171" w14:textId="77777777" w:rsidR="00CE452A" w:rsidRPr="000455AC" w:rsidRDefault="00CE452A" w:rsidP="00BD066A">
            <w:pPr>
              <w:rPr>
                <w:lang w:val="da-DK"/>
              </w:rPr>
            </w:pPr>
            <w:r w:rsidRPr="000455AC">
              <w:rPr>
                <w:b/>
                <w:bCs/>
                <w:lang w:val="da-DK"/>
              </w:rPr>
              <w:t>Symbol</w:t>
            </w:r>
          </w:p>
        </w:tc>
        <w:tc>
          <w:tcPr>
            <w:tcW w:w="3700"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59A2FC7" w14:textId="77777777" w:rsidR="00CE452A" w:rsidRPr="000455AC" w:rsidRDefault="00CE452A" w:rsidP="00BD066A">
            <w:pPr>
              <w:rPr>
                <w:lang w:val="da-DK"/>
              </w:rPr>
            </w:pPr>
            <w:r w:rsidRPr="000455AC">
              <w:rPr>
                <w:b/>
                <w:bCs/>
                <w:lang w:val="en-US"/>
              </w:rPr>
              <w:t xml:space="preserve">Total omsætning </w:t>
            </w:r>
            <w:r w:rsidRPr="000455AC">
              <w:rPr>
                <w:lang w:val="en-US"/>
              </w:rPr>
              <w:t>(DKK mio.)</w:t>
            </w:r>
          </w:p>
        </w:tc>
      </w:tr>
      <w:tr w:rsidR="00CE452A" w:rsidRPr="000455AC" w14:paraId="6B5BCEF5" w14:textId="77777777" w:rsidTr="00BD066A">
        <w:trPr>
          <w:trHeight w:val="255"/>
        </w:trPr>
        <w:tc>
          <w:tcPr>
            <w:tcW w:w="540" w:type="dxa"/>
            <w:tcBorders>
              <w:top w:val="single" w:sz="4" w:space="0" w:color="000000"/>
              <w:left w:val="nil"/>
              <w:bottom w:val="single" w:sz="4" w:space="0" w:color="FFFFFF"/>
              <w:right w:val="nil"/>
            </w:tcBorders>
            <w:shd w:val="clear" w:color="auto" w:fill="auto"/>
            <w:tcMar>
              <w:top w:w="15" w:type="dxa"/>
              <w:left w:w="70" w:type="dxa"/>
              <w:bottom w:w="0" w:type="dxa"/>
              <w:right w:w="70" w:type="dxa"/>
            </w:tcMar>
            <w:vAlign w:val="bottom"/>
            <w:hideMark/>
          </w:tcPr>
          <w:p w14:paraId="7F403A74" w14:textId="77777777" w:rsidR="00CE452A" w:rsidRPr="000455AC" w:rsidRDefault="00CE452A" w:rsidP="00BD066A">
            <w:pPr>
              <w:rPr>
                <w:lang w:val="da-DK"/>
              </w:rPr>
            </w:pPr>
            <w:r w:rsidRPr="000455AC">
              <w:rPr>
                <w:lang w:val="da-DK"/>
              </w:rPr>
              <w:t>1.</w:t>
            </w:r>
          </w:p>
        </w:tc>
        <w:tc>
          <w:tcPr>
            <w:tcW w:w="180" w:type="dxa"/>
            <w:tcBorders>
              <w:top w:val="single" w:sz="4" w:space="0" w:color="000000"/>
              <w:left w:val="nil"/>
              <w:bottom w:val="single" w:sz="8" w:space="0" w:color="FFFFFF"/>
              <w:right w:val="nil"/>
            </w:tcBorders>
            <w:shd w:val="clear" w:color="auto" w:fill="F2F2F2"/>
            <w:tcMar>
              <w:top w:w="15" w:type="dxa"/>
              <w:left w:w="70" w:type="dxa"/>
              <w:bottom w:w="0" w:type="dxa"/>
              <w:right w:w="70" w:type="dxa"/>
            </w:tcMar>
            <w:vAlign w:val="bottom"/>
            <w:hideMark/>
          </w:tcPr>
          <w:p w14:paraId="5E0F73D1" w14:textId="77777777" w:rsidR="00CE452A" w:rsidRPr="000455AC" w:rsidRDefault="00CE452A" w:rsidP="00BD066A">
            <w:pPr>
              <w:rPr>
                <w:lang w:val="da-DK"/>
              </w:rPr>
            </w:pPr>
          </w:p>
        </w:tc>
        <w:tc>
          <w:tcPr>
            <w:tcW w:w="2660" w:type="dxa"/>
            <w:tcBorders>
              <w:top w:val="single" w:sz="4" w:space="0" w:color="000000"/>
              <w:left w:val="nil"/>
              <w:bottom w:val="single" w:sz="8" w:space="0" w:color="FFFFFF"/>
              <w:right w:val="nil"/>
            </w:tcBorders>
            <w:shd w:val="clear" w:color="auto" w:fill="F2F2F2"/>
            <w:tcMar>
              <w:top w:w="15" w:type="dxa"/>
              <w:left w:w="70" w:type="dxa"/>
              <w:bottom w:w="0" w:type="dxa"/>
              <w:right w:w="70" w:type="dxa"/>
            </w:tcMar>
            <w:vAlign w:val="bottom"/>
            <w:hideMark/>
          </w:tcPr>
          <w:p w14:paraId="11DB068D" w14:textId="77777777" w:rsidR="00CE452A" w:rsidRPr="000455AC" w:rsidRDefault="00CE452A" w:rsidP="00BD066A">
            <w:pPr>
              <w:rPr>
                <w:lang w:val="da-DK"/>
              </w:rPr>
            </w:pPr>
            <w:r w:rsidRPr="000455AC">
              <w:rPr>
                <w:lang w:val="da-DK"/>
              </w:rPr>
              <w:t>Novo Nordisk B</w:t>
            </w:r>
          </w:p>
        </w:tc>
        <w:tc>
          <w:tcPr>
            <w:tcW w:w="1480" w:type="dxa"/>
            <w:tcBorders>
              <w:top w:val="single" w:sz="4" w:space="0" w:color="000000"/>
              <w:left w:val="nil"/>
              <w:bottom w:val="single" w:sz="8" w:space="0" w:color="FFFFFF"/>
              <w:right w:val="nil"/>
            </w:tcBorders>
            <w:shd w:val="clear" w:color="auto" w:fill="F2F2F2"/>
            <w:tcMar>
              <w:top w:w="15" w:type="dxa"/>
              <w:left w:w="70" w:type="dxa"/>
              <w:bottom w:w="0" w:type="dxa"/>
              <w:right w:w="70" w:type="dxa"/>
            </w:tcMar>
            <w:vAlign w:val="bottom"/>
            <w:hideMark/>
          </w:tcPr>
          <w:p w14:paraId="1A96F8BC" w14:textId="77777777" w:rsidR="00CE452A" w:rsidRPr="000455AC" w:rsidRDefault="00CE452A" w:rsidP="00BD066A">
            <w:pPr>
              <w:rPr>
                <w:lang w:val="da-DK"/>
              </w:rPr>
            </w:pPr>
            <w:r w:rsidRPr="000455AC">
              <w:rPr>
                <w:lang w:val="da-DK"/>
              </w:rPr>
              <w:t>NOVO B</w:t>
            </w:r>
          </w:p>
        </w:tc>
        <w:tc>
          <w:tcPr>
            <w:tcW w:w="3700" w:type="dxa"/>
            <w:tcBorders>
              <w:top w:val="single" w:sz="4" w:space="0" w:color="000000"/>
              <w:left w:val="nil"/>
              <w:bottom w:val="single" w:sz="8" w:space="0" w:color="FFFFFF"/>
              <w:right w:val="nil"/>
            </w:tcBorders>
            <w:shd w:val="clear" w:color="auto" w:fill="F2F2F2"/>
            <w:tcMar>
              <w:top w:w="15" w:type="dxa"/>
              <w:left w:w="70" w:type="dxa"/>
              <w:bottom w:w="0" w:type="dxa"/>
              <w:right w:w="70" w:type="dxa"/>
            </w:tcMar>
            <w:vAlign w:val="bottom"/>
            <w:hideMark/>
          </w:tcPr>
          <w:p w14:paraId="2CD10FE7" w14:textId="77777777" w:rsidR="00CE452A" w:rsidRPr="000455AC" w:rsidRDefault="00CE452A" w:rsidP="00BD066A">
            <w:pPr>
              <w:jc w:val="right"/>
              <w:rPr>
                <w:lang w:val="da-DK"/>
              </w:rPr>
            </w:pPr>
            <w:r w:rsidRPr="000455AC">
              <w:rPr>
                <w:lang w:val="da-DK"/>
              </w:rPr>
              <w:t>215.061</w:t>
            </w:r>
          </w:p>
        </w:tc>
      </w:tr>
      <w:tr w:rsidR="00CE452A" w:rsidRPr="000455AC" w14:paraId="0CE2F342"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C1F7621" w14:textId="77777777" w:rsidR="00CE452A" w:rsidRPr="000455AC" w:rsidRDefault="00CE452A" w:rsidP="00BD066A">
            <w:pPr>
              <w:rPr>
                <w:lang w:val="da-DK"/>
              </w:rPr>
            </w:pPr>
            <w:r w:rsidRPr="000455AC">
              <w:rPr>
                <w:lang w:val="da-DK"/>
              </w:rPr>
              <w:t>2.</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E03A3D6"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CB10609" w14:textId="77777777" w:rsidR="00CE452A" w:rsidRPr="000455AC" w:rsidRDefault="00CE452A" w:rsidP="00BD066A">
            <w:pPr>
              <w:rPr>
                <w:lang w:val="da-DK"/>
              </w:rPr>
            </w:pPr>
            <w:r w:rsidRPr="000455AC">
              <w:rPr>
                <w:lang w:val="da-DK"/>
              </w:rPr>
              <w:t>DSV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E415112" w14:textId="77777777" w:rsidR="00CE452A" w:rsidRPr="000455AC" w:rsidRDefault="00CE452A" w:rsidP="00BD066A">
            <w:pPr>
              <w:rPr>
                <w:lang w:val="da-DK"/>
              </w:rPr>
            </w:pPr>
            <w:r w:rsidRPr="000455AC">
              <w:rPr>
                <w:lang w:val="da-DK"/>
              </w:rPr>
              <w:t>DSV</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AD01C85" w14:textId="77777777" w:rsidR="00CE452A" w:rsidRPr="000455AC" w:rsidRDefault="00CE452A" w:rsidP="00BD066A">
            <w:pPr>
              <w:jc w:val="right"/>
              <w:rPr>
                <w:lang w:val="da-DK"/>
              </w:rPr>
            </w:pPr>
            <w:r w:rsidRPr="000455AC">
              <w:rPr>
                <w:lang w:val="da-DK"/>
              </w:rPr>
              <w:t>48.843</w:t>
            </w:r>
          </w:p>
        </w:tc>
      </w:tr>
      <w:tr w:rsidR="00CE452A" w:rsidRPr="000455AC" w14:paraId="4B78AE93"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99AF5C0" w14:textId="77777777" w:rsidR="00CE452A" w:rsidRPr="000455AC" w:rsidRDefault="00CE452A" w:rsidP="00BD066A">
            <w:pPr>
              <w:rPr>
                <w:lang w:val="da-DK"/>
              </w:rPr>
            </w:pPr>
            <w:r w:rsidRPr="000455AC">
              <w:rPr>
                <w:lang w:val="da-DK"/>
              </w:rPr>
              <w:t>3.</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8D2D198"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ABF7E06" w14:textId="77777777" w:rsidR="00CE452A" w:rsidRPr="000455AC" w:rsidRDefault="00CE452A" w:rsidP="00BD066A">
            <w:pPr>
              <w:rPr>
                <w:lang w:val="da-DK"/>
              </w:rPr>
            </w:pPr>
            <w:r w:rsidRPr="000455AC">
              <w:rPr>
                <w:lang w:val="da-DK"/>
              </w:rPr>
              <w:t>Vestas Wind Systems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F5282CB" w14:textId="77777777" w:rsidR="00CE452A" w:rsidRPr="000455AC" w:rsidRDefault="00CE452A" w:rsidP="00BD066A">
            <w:pPr>
              <w:rPr>
                <w:lang w:val="da-DK"/>
              </w:rPr>
            </w:pPr>
            <w:r w:rsidRPr="000455AC">
              <w:rPr>
                <w:lang w:val="da-DK"/>
              </w:rPr>
              <w:t>VWS</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B70A50D" w14:textId="77777777" w:rsidR="00CE452A" w:rsidRPr="000455AC" w:rsidRDefault="00CE452A" w:rsidP="00BD066A">
            <w:pPr>
              <w:jc w:val="right"/>
              <w:rPr>
                <w:lang w:val="da-DK"/>
              </w:rPr>
            </w:pPr>
            <w:r w:rsidRPr="000455AC">
              <w:rPr>
                <w:lang w:val="da-DK"/>
              </w:rPr>
              <w:t>43.587</w:t>
            </w:r>
          </w:p>
        </w:tc>
      </w:tr>
      <w:tr w:rsidR="00CE452A" w:rsidRPr="000455AC" w14:paraId="3B88BC9F"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FCE28D9" w14:textId="77777777" w:rsidR="00CE452A" w:rsidRPr="000455AC" w:rsidRDefault="00CE452A" w:rsidP="00BD066A">
            <w:pPr>
              <w:rPr>
                <w:lang w:val="da-DK"/>
              </w:rPr>
            </w:pPr>
            <w:r w:rsidRPr="000455AC">
              <w:rPr>
                <w:lang w:val="da-DK"/>
              </w:rPr>
              <w:t>4.</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301F8CE"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DB2C6F0" w14:textId="77777777" w:rsidR="00CE452A" w:rsidRPr="000455AC" w:rsidRDefault="00CE452A" w:rsidP="00BD066A">
            <w:pPr>
              <w:rPr>
                <w:lang w:val="da-DK"/>
              </w:rPr>
            </w:pPr>
            <w:r w:rsidRPr="000455AC">
              <w:rPr>
                <w:lang w:val="da-DK"/>
              </w:rPr>
              <w:t>Ørsted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E869F56" w14:textId="77777777" w:rsidR="00CE452A" w:rsidRPr="000455AC" w:rsidRDefault="00CE452A" w:rsidP="00BD066A">
            <w:pPr>
              <w:rPr>
                <w:lang w:val="da-DK"/>
              </w:rPr>
            </w:pPr>
            <w:r w:rsidRPr="000455AC">
              <w:rPr>
                <w:lang w:val="da-DK"/>
              </w:rPr>
              <w:t>ORSTED</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D9B57EC" w14:textId="77777777" w:rsidR="00CE452A" w:rsidRPr="000455AC" w:rsidRDefault="00CE452A" w:rsidP="00BD066A">
            <w:pPr>
              <w:jc w:val="right"/>
              <w:rPr>
                <w:lang w:val="da-DK"/>
              </w:rPr>
            </w:pPr>
            <w:r w:rsidRPr="000455AC">
              <w:rPr>
                <w:lang w:val="da-DK"/>
              </w:rPr>
              <w:t>40.266</w:t>
            </w:r>
          </w:p>
        </w:tc>
      </w:tr>
      <w:tr w:rsidR="00CE452A" w:rsidRPr="000455AC" w14:paraId="52E61B58"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07B8E8F8" w14:textId="77777777" w:rsidR="00CE452A" w:rsidRPr="000455AC" w:rsidRDefault="00CE452A" w:rsidP="00BD066A">
            <w:pPr>
              <w:rPr>
                <w:lang w:val="da-DK"/>
              </w:rPr>
            </w:pPr>
            <w:r w:rsidRPr="000455AC">
              <w:rPr>
                <w:lang w:val="da-DK"/>
              </w:rPr>
              <w:t>5.</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BCE3753"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12D6510" w14:textId="77777777" w:rsidR="00CE452A" w:rsidRPr="000455AC" w:rsidRDefault="00CE452A" w:rsidP="00BD066A">
            <w:pPr>
              <w:rPr>
                <w:lang w:val="da-DK"/>
              </w:rPr>
            </w:pPr>
            <w:r w:rsidRPr="000455AC">
              <w:rPr>
                <w:lang w:val="da-DK"/>
              </w:rPr>
              <w:t>A.P. Møller - Maersk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58ADE99" w14:textId="77777777" w:rsidR="00CE452A" w:rsidRPr="000455AC" w:rsidRDefault="00CE452A" w:rsidP="00BD066A">
            <w:pPr>
              <w:rPr>
                <w:lang w:val="da-DK"/>
              </w:rPr>
            </w:pPr>
            <w:r w:rsidRPr="000455AC">
              <w:rPr>
                <w:lang w:val="da-DK"/>
              </w:rPr>
              <w:t>MAERSK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B8A4783" w14:textId="77777777" w:rsidR="00CE452A" w:rsidRPr="000455AC" w:rsidRDefault="00CE452A" w:rsidP="00BD066A">
            <w:pPr>
              <w:jc w:val="right"/>
              <w:rPr>
                <w:lang w:val="da-DK"/>
              </w:rPr>
            </w:pPr>
            <w:r w:rsidRPr="000455AC">
              <w:rPr>
                <w:lang w:val="da-DK"/>
              </w:rPr>
              <w:t>36.406</w:t>
            </w:r>
          </w:p>
        </w:tc>
      </w:tr>
      <w:tr w:rsidR="00CE452A" w:rsidRPr="000455AC" w14:paraId="175A1A12"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0B3E5FE" w14:textId="77777777" w:rsidR="00CE452A" w:rsidRPr="000455AC" w:rsidRDefault="00CE452A" w:rsidP="00BD066A">
            <w:pPr>
              <w:rPr>
                <w:lang w:val="da-DK"/>
              </w:rPr>
            </w:pPr>
            <w:r w:rsidRPr="000455AC">
              <w:rPr>
                <w:lang w:val="da-DK"/>
              </w:rPr>
              <w:t>6.</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08B381B"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7F46729" w14:textId="77777777" w:rsidR="00CE452A" w:rsidRPr="000455AC" w:rsidRDefault="00CE452A" w:rsidP="00BD066A">
            <w:pPr>
              <w:rPr>
                <w:lang w:val="da-DK"/>
              </w:rPr>
            </w:pPr>
            <w:r w:rsidRPr="000455AC">
              <w:rPr>
                <w:lang w:val="da-DK"/>
              </w:rPr>
              <w:t>Genmab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6265367" w14:textId="77777777" w:rsidR="00CE452A" w:rsidRPr="000455AC" w:rsidRDefault="00CE452A" w:rsidP="00BD066A">
            <w:pPr>
              <w:rPr>
                <w:lang w:val="da-DK"/>
              </w:rPr>
            </w:pPr>
            <w:r w:rsidRPr="000455AC">
              <w:rPr>
                <w:lang w:val="da-DK"/>
              </w:rPr>
              <w:t>GMAB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75A8981" w14:textId="77777777" w:rsidR="00CE452A" w:rsidRPr="000455AC" w:rsidRDefault="00CE452A" w:rsidP="00BD066A">
            <w:pPr>
              <w:jc w:val="right"/>
              <w:rPr>
                <w:lang w:val="da-DK"/>
              </w:rPr>
            </w:pPr>
            <w:r w:rsidRPr="000455AC">
              <w:rPr>
                <w:lang w:val="da-DK"/>
              </w:rPr>
              <w:t>26.448</w:t>
            </w:r>
          </w:p>
        </w:tc>
      </w:tr>
      <w:tr w:rsidR="00CE452A" w:rsidRPr="000455AC" w14:paraId="3137FDDF"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6A6CFD8" w14:textId="77777777" w:rsidR="00CE452A" w:rsidRPr="000455AC" w:rsidRDefault="00CE452A" w:rsidP="00BD066A">
            <w:pPr>
              <w:rPr>
                <w:lang w:val="da-DK"/>
              </w:rPr>
            </w:pPr>
            <w:r w:rsidRPr="000455AC">
              <w:rPr>
                <w:lang w:val="da-DK"/>
              </w:rPr>
              <w:t>7.</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8809138"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7500601" w14:textId="77777777" w:rsidR="00CE452A" w:rsidRPr="000455AC" w:rsidRDefault="00CE452A" w:rsidP="00BD066A">
            <w:pPr>
              <w:rPr>
                <w:lang w:val="da-DK"/>
              </w:rPr>
            </w:pPr>
            <w:r w:rsidRPr="000455AC">
              <w:rPr>
                <w:lang w:val="da-DK"/>
              </w:rPr>
              <w:t>Danske Bank</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4034D85" w14:textId="77777777" w:rsidR="00CE452A" w:rsidRPr="000455AC" w:rsidRDefault="00CE452A" w:rsidP="00BD066A">
            <w:pPr>
              <w:rPr>
                <w:lang w:val="da-DK"/>
              </w:rPr>
            </w:pPr>
            <w:r w:rsidRPr="000455AC">
              <w:rPr>
                <w:lang w:val="da-DK"/>
              </w:rPr>
              <w:t>DANSKE</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DC1DC95" w14:textId="77777777" w:rsidR="00CE452A" w:rsidRPr="000455AC" w:rsidRDefault="00CE452A" w:rsidP="00BD066A">
            <w:pPr>
              <w:jc w:val="right"/>
              <w:rPr>
                <w:lang w:val="da-DK"/>
              </w:rPr>
            </w:pPr>
            <w:r w:rsidRPr="000455AC">
              <w:rPr>
                <w:lang w:val="da-DK"/>
              </w:rPr>
              <w:t>25.407</w:t>
            </w:r>
          </w:p>
        </w:tc>
      </w:tr>
      <w:tr w:rsidR="00CE452A" w:rsidRPr="000455AC" w14:paraId="61D9978B"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4C132143" w14:textId="77777777" w:rsidR="00CE452A" w:rsidRPr="000455AC" w:rsidRDefault="00CE452A" w:rsidP="00BD066A">
            <w:pPr>
              <w:rPr>
                <w:lang w:val="da-DK"/>
              </w:rPr>
            </w:pPr>
            <w:r w:rsidRPr="000455AC">
              <w:rPr>
                <w:lang w:val="da-DK"/>
              </w:rPr>
              <w:t>8.</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4EFEB99"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32E0168" w14:textId="77777777" w:rsidR="00CE452A" w:rsidRPr="000455AC" w:rsidRDefault="00CE452A" w:rsidP="00BD066A">
            <w:pPr>
              <w:rPr>
                <w:lang w:val="da-DK"/>
              </w:rPr>
            </w:pPr>
            <w:r w:rsidRPr="000455AC">
              <w:rPr>
                <w:lang w:val="da-DK"/>
              </w:rPr>
              <w:t>Coloplast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6F8CECC" w14:textId="77777777" w:rsidR="00CE452A" w:rsidRPr="000455AC" w:rsidRDefault="00CE452A" w:rsidP="00BD066A">
            <w:pPr>
              <w:rPr>
                <w:lang w:val="da-DK"/>
              </w:rPr>
            </w:pPr>
            <w:r w:rsidRPr="000455AC">
              <w:rPr>
                <w:lang w:val="da-DK"/>
              </w:rPr>
              <w:t>COLO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2221DAF" w14:textId="77777777" w:rsidR="00CE452A" w:rsidRPr="000455AC" w:rsidRDefault="00CE452A" w:rsidP="00BD066A">
            <w:pPr>
              <w:jc w:val="right"/>
              <w:rPr>
                <w:lang w:val="da-DK"/>
              </w:rPr>
            </w:pPr>
            <w:r w:rsidRPr="000455AC">
              <w:rPr>
                <w:lang w:val="da-DK"/>
              </w:rPr>
              <w:t>21.766</w:t>
            </w:r>
          </w:p>
        </w:tc>
      </w:tr>
      <w:tr w:rsidR="00CE452A" w:rsidRPr="000455AC" w14:paraId="03F6A490"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73978895" w14:textId="77777777" w:rsidR="00CE452A" w:rsidRPr="000455AC" w:rsidRDefault="00CE452A" w:rsidP="00BD066A">
            <w:pPr>
              <w:rPr>
                <w:lang w:val="da-DK"/>
              </w:rPr>
            </w:pPr>
            <w:r w:rsidRPr="000455AC">
              <w:rPr>
                <w:lang w:val="da-DK"/>
              </w:rPr>
              <w:t>9.</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75FBB36"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E9DBC7D" w14:textId="77777777" w:rsidR="00CE452A" w:rsidRPr="000455AC" w:rsidRDefault="00CE452A" w:rsidP="00BD066A">
            <w:pPr>
              <w:rPr>
                <w:lang w:val="da-DK"/>
              </w:rPr>
            </w:pPr>
            <w:r w:rsidRPr="000455AC">
              <w:rPr>
                <w:lang w:val="da-DK"/>
              </w:rPr>
              <w:t>Carlsberg A/S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454F841" w14:textId="77777777" w:rsidR="00CE452A" w:rsidRPr="000455AC" w:rsidRDefault="00CE452A" w:rsidP="00BD066A">
            <w:pPr>
              <w:rPr>
                <w:lang w:val="da-DK"/>
              </w:rPr>
            </w:pPr>
            <w:r w:rsidRPr="000455AC">
              <w:rPr>
                <w:lang w:val="da-DK"/>
              </w:rPr>
              <w:t>CARL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AC49E39" w14:textId="77777777" w:rsidR="00CE452A" w:rsidRPr="000455AC" w:rsidRDefault="00CE452A" w:rsidP="00BD066A">
            <w:pPr>
              <w:jc w:val="right"/>
              <w:rPr>
                <w:lang w:val="da-DK"/>
              </w:rPr>
            </w:pPr>
            <w:r w:rsidRPr="000455AC">
              <w:rPr>
                <w:lang w:val="da-DK"/>
              </w:rPr>
              <w:t>21.485</w:t>
            </w:r>
          </w:p>
        </w:tc>
      </w:tr>
      <w:tr w:rsidR="00CE452A" w:rsidRPr="000455AC" w14:paraId="1C22019C"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813D01A" w14:textId="77777777" w:rsidR="00CE452A" w:rsidRPr="000455AC" w:rsidRDefault="00CE452A" w:rsidP="00BD066A">
            <w:pPr>
              <w:rPr>
                <w:lang w:val="da-DK"/>
              </w:rPr>
            </w:pPr>
            <w:r w:rsidRPr="000455AC">
              <w:rPr>
                <w:lang w:val="da-DK"/>
              </w:rPr>
              <w:t>10.</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B233A3B"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17DB988" w14:textId="77777777" w:rsidR="00CE452A" w:rsidRPr="000455AC" w:rsidRDefault="00CE452A" w:rsidP="00BD066A">
            <w:pPr>
              <w:rPr>
                <w:lang w:val="da-DK"/>
              </w:rPr>
            </w:pPr>
            <w:r w:rsidRPr="000455AC">
              <w:rPr>
                <w:lang w:val="da-DK"/>
              </w:rPr>
              <w:t>Pandora</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F4376EA" w14:textId="77777777" w:rsidR="00CE452A" w:rsidRPr="000455AC" w:rsidRDefault="00CE452A" w:rsidP="00BD066A">
            <w:pPr>
              <w:rPr>
                <w:lang w:val="da-DK"/>
              </w:rPr>
            </w:pPr>
            <w:r w:rsidRPr="000455AC">
              <w:rPr>
                <w:lang w:val="da-DK"/>
              </w:rPr>
              <w:t>PNDORA</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A35C70D" w14:textId="77777777" w:rsidR="00CE452A" w:rsidRPr="000455AC" w:rsidRDefault="00CE452A" w:rsidP="00BD066A">
            <w:pPr>
              <w:jc w:val="right"/>
              <w:rPr>
                <w:lang w:val="da-DK"/>
              </w:rPr>
            </w:pPr>
            <w:r w:rsidRPr="000455AC">
              <w:rPr>
                <w:lang w:val="da-DK"/>
              </w:rPr>
              <w:t>21.046</w:t>
            </w:r>
          </w:p>
        </w:tc>
      </w:tr>
      <w:tr w:rsidR="00CE452A" w:rsidRPr="000455AC" w14:paraId="3D5C6821"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FA486E0" w14:textId="77777777" w:rsidR="00CE452A" w:rsidRPr="000455AC" w:rsidRDefault="00CE452A" w:rsidP="00BD066A">
            <w:pPr>
              <w:rPr>
                <w:lang w:val="da-DK"/>
              </w:rPr>
            </w:pPr>
            <w:r w:rsidRPr="000455AC">
              <w:rPr>
                <w:lang w:val="da-DK"/>
              </w:rPr>
              <w:t>11.</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5D72AF9"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A986600" w14:textId="77777777" w:rsidR="00CE452A" w:rsidRPr="000455AC" w:rsidRDefault="00CE452A" w:rsidP="00BD066A">
            <w:pPr>
              <w:rPr>
                <w:lang w:val="da-DK"/>
              </w:rPr>
            </w:pPr>
            <w:r w:rsidRPr="000455AC">
              <w:rPr>
                <w:lang w:val="da-DK"/>
              </w:rPr>
              <w:t>Novozymes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38DFC24" w14:textId="77777777" w:rsidR="00CE452A" w:rsidRPr="000455AC" w:rsidRDefault="00CE452A" w:rsidP="00BD066A">
            <w:pPr>
              <w:rPr>
                <w:lang w:val="da-DK"/>
              </w:rPr>
            </w:pPr>
            <w:r w:rsidRPr="000455AC">
              <w:rPr>
                <w:lang w:val="da-DK"/>
              </w:rPr>
              <w:t>NZYM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90EF1BB" w14:textId="77777777" w:rsidR="00CE452A" w:rsidRPr="000455AC" w:rsidRDefault="00CE452A" w:rsidP="00BD066A">
            <w:pPr>
              <w:jc w:val="right"/>
              <w:rPr>
                <w:lang w:val="da-DK"/>
              </w:rPr>
            </w:pPr>
            <w:r w:rsidRPr="000455AC">
              <w:rPr>
                <w:lang w:val="da-DK"/>
              </w:rPr>
              <w:t>18.236</w:t>
            </w:r>
          </w:p>
        </w:tc>
      </w:tr>
      <w:tr w:rsidR="00CE452A" w:rsidRPr="000455AC" w14:paraId="3E11FE01"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D13819F" w14:textId="77777777" w:rsidR="00CE452A" w:rsidRPr="000455AC" w:rsidRDefault="00CE452A" w:rsidP="00BD066A">
            <w:pPr>
              <w:rPr>
                <w:lang w:val="da-DK"/>
              </w:rPr>
            </w:pPr>
            <w:r w:rsidRPr="000455AC">
              <w:rPr>
                <w:lang w:val="da-DK"/>
              </w:rPr>
              <w:t>12.</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0607D1E"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0AC9EE5" w14:textId="77777777" w:rsidR="00CE452A" w:rsidRPr="000455AC" w:rsidRDefault="00CE452A" w:rsidP="00BD066A">
            <w:pPr>
              <w:rPr>
                <w:lang w:val="da-DK"/>
              </w:rPr>
            </w:pPr>
            <w:r w:rsidRPr="000455AC">
              <w:rPr>
                <w:lang w:val="da-DK"/>
              </w:rPr>
              <w:t>Tryg</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9589D78" w14:textId="77777777" w:rsidR="00CE452A" w:rsidRPr="000455AC" w:rsidRDefault="00CE452A" w:rsidP="00BD066A">
            <w:pPr>
              <w:rPr>
                <w:lang w:val="da-DK"/>
              </w:rPr>
            </w:pPr>
            <w:r w:rsidRPr="000455AC">
              <w:rPr>
                <w:lang w:val="da-DK"/>
              </w:rPr>
              <w:t>TRYG</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79DDC1C" w14:textId="77777777" w:rsidR="00CE452A" w:rsidRPr="000455AC" w:rsidRDefault="00CE452A" w:rsidP="00BD066A">
            <w:pPr>
              <w:jc w:val="right"/>
              <w:rPr>
                <w:lang w:val="da-DK"/>
              </w:rPr>
            </w:pPr>
            <w:r w:rsidRPr="000455AC">
              <w:rPr>
                <w:lang w:val="da-DK"/>
              </w:rPr>
              <w:t>12.155</w:t>
            </w:r>
          </w:p>
        </w:tc>
      </w:tr>
      <w:tr w:rsidR="00CE452A" w:rsidRPr="000455AC" w14:paraId="0921BCE6"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534A526A" w14:textId="77777777" w:rsidR="00CE452A" w:rsidRPr="000455AC" w:rsidRDefault="00CE452A" w:rsidP="00BD066A">
            <w:pPr>
              <w:rPr>
                <w:lang w:val="da-DK"/>
              </w:rPr>
            </w:pPr>
            <w:r w:rsidRPr="000455AC">
              <w:rPr>
                <w:lang w:val="da-DK"/>
              </w:rPr>
              <w:t>13.</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548957B"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C9B7BE2" w14:textId="77777777" w:rsidR="00CE452A" w:rsidRPr="000455AC" w:rsidRDefault="00CE452A" w:rsidP="00BD066A">
            <w:pPr>
              <w:rPr>
                <w:lang w:val="da-DK"/>
              </w:rPr>
            </w:pPr>
            <w:r w:rsidRPr="000455AC">
              <w:rPr>
                <w:lang w:val="da-DK"/>
              </w:rPr>
              <w:t>GN Store Nord</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3EC4BAA" w14:textId="77777777" w:rsidR="00CE452A" w:rsidRPr="000455AC" w:rsidRDefault="00CE452A" w:rsidP="00BD066A">
            <w:pPr>
              <w:rPr>
                <w:lang w:val="da-DK"/>
              </w:rPr>
            </w:pPr>
            <w:r w:rsidRPr="000455AC">
              <w:rPr>
                <w:lang w:val="da-DK"/>
              </w:rPr>
              <w:t>GN</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B1FAC4B" w14:textId="77777777" w:rsidR="00CE452A" w:rsidRPr="000455AC" w:rsidRDefault="00CE452A" w:rsidP="00BD066A">
            <w:pPr>
              <w:jc w:val="right"/>
              <w:rPr>
                <w:lang w:val="da-DK"/>
              </w:rPr>
            </w:pPr>
            <w:r w:rsidRPr="000455AC">
              <w:rPr>
                <w:lang w:val="da-DK"/>
              </w:rPr>
              <w:t>10.710</w:t>
            </w:r>
          </w:p>
        </w:tc>
      </w:tr>
      <w:tr w:rsidR="00CE452A" w:rsidRPr="000455AC" w14:paraId="59AB5E7C"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E587C93" w14:textId="77777777" w:rsidR="00CE452A" w:rsidRPr="000455AC" w:rsidRDefault="00CE452A" w:rsidP="00BD066A">
            <w:pPr>
              <w:rPr>
                <w:lang w:val="da-DK"/>
              </w:rPr>
            </w:pPr>
            <w:r w:rsidRPr="000455AC">
              <w:rPr>
                <w:lang w:val="da-DK"/>
              </w:rPr>
              <w:t>14.</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3AFF602"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07D8611" w14:textId="77777777" w:rsidR="00CE452A" w:rsidRPr="000455AC" w:rsidRDefault="00CE452A" w:rsidP="00BD066A">
            <w:pPr>
              <w:rPr>
                <w:lang w:val="da-DK"/>
              </w:rPr>
            </w:pPr>
            <w:r w:rsidRPr="000455AC">
              <w:rPr>
                <w:lang w:val="da-DK"/>
              </w:rPr>
              <w:t>A.P. Møller - Maersk A</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A8CFDC4" w14:textId="77777777" w:rsidR="00CE452A" w:rsidRPr="000455AC" w:rsidRDefault="00CE452A" w:rsidP="00BD066A">
            <w:pPr>
              <w:rPr>
                <w:lang w:val="da-DK"/>
              </w:rPr>
            </w:pPr>
            <w:r w:rsidRPr="000455AC">
              <w:rPr>
                <w:lang w:val="da-DK"/>
              </w:rPr>
              <w:t>MAERSK A</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DEFF589" w14:textId="77777777" w:rsidR="00CE452A" w:rsidRPr="000455AC" w:rsidRDefault="00CE452A" w:rsidP="00BD066A">
            <w:pPr>
              <w:jc w:val="right"/>
              <w:rPr>
                <w:lang w:val="da-DK"/>
              </w:rPr>
            </w:pPr>
            <w:r w:rsidRPr="000455AC">
              <w:rPr>
                <w:lang w:val="da-DK"/>
              </w:rPr>
              <w:t>9.635</w:t>
            </w:r>
          </w:p>
        </w:tc>
      </w:tr>
      <w:tr w:rsidR="00CE452A" w:rsidRPr="000455AC" w14:paraId="474520FC"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E54B376" w14:textId="77777777" w:rsidR="00CE452A" w:rsidRPr="000455AC" w:rsidRDefault="00CE452A" w:rsidP="00BD066A">
            <w:pPr>
              <w:rPr>
                <w:lang w:val="da-DK"/>
              </w:rPr>
            </w:pPr>
            <w:r w:rsidRPr="000455AC">
              <w:rPr>
                <w:lang w:val="da-DK"/>
              </w:rPr>
              <w:t>15.</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275655F"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CBECD7E" w14:textId="77777777" w:rsidR="00CE452A" w:rsidRPr="000455AC" w:rsidRDefault="00CE452A" w:rsidP="00BD066A">
            <w:pPr>
              <w:rPr>
                <w:lang w:val="da-DK"/>
              </w:rPr>
            </w:pPr>
            <w:r w:rsidRPr="000455AC">
              <w:rPr>
                <w:lang w:val="da-DK"/>
              </w:rPr>
              <w:t>Demant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EDE4EC4" w14:textId="77777777" w:rsidR="00CE452A" w:rsidRPr="000455AC" w:rsidRDefault="00CE452A" w:rsidP="00BD066A">
            <w:pPr>
              <w:rPr>
                <w:lang w:val="da-DK"/>
              </w:rPr>
            </w:pPr>
            <w:r w:rsidRPr="000455AC">
              <w:rPr>
                <w:lang w:val="da-DK"/>
              </w:rPr>
              <w:t>DEMANT</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1806F92" w14:textId="77777777" w:rsidR="00CE452A" w:rsidRPr="000455AC" w:rsidRDefault="00CE452A" w:rsidP="00BD066A">
            <w:pPr>
              <w:jc w:val="right"/>
              <w:rPr>
                <w:lang w:val="da-DK"/>
              </w:rPr>
            </w:pPr>
            <w:r w:rsidRPr="000455AC">
              <w:rPr>
                <w:lang w:val="da-DK"/>
              </w:rPr>
              <w:t>9.432</w:t>
            </w:r>
          </w:p>
        </w:tc>
      </w:tr>
      <w:tr w:rsidR="00CE452A" w:rsidRPr="000455AC" w14:paraId="586E5A6B"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420F416F" w14:textId="77777777" w:rsidR="00CE452A" w:rsidRPr="000455AC" w:rsidRDefault="00CE452A" w:rsidP="00BD066A">
            <w:pPr>
              <w:rPr>
                <w:lang w:val="da-DK"/>
              </w:rPr>
            </w:pPr>
            <w:r w:rsidRPr="000455AC">
              <w:rPr>
                <w:lang w:val="da-DK"/>
              </w:rPr>
              <w:t>16.</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E4E09A7"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2D52CB3" w14:textId="77777777" w:rsidR="00CE452A" w:rsidRPr="000455AC" w:rsidRDefault="00CE452A" w:rsidP="00BD066A">
            <w:pPr>
              <w:rPr>
                <w:lang w:val="da-DK"/>
              </w:rPr>
            </w:pPr>
            <w:r w:rsidRPr="000455AC">
              <w:rPr>
                <w:lang w:val="da-DK"/>
              </w:rPr>
              <w:t>ISS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720B17B" w14:textId="77777777" w:rsidR="00CE452A" w:rsidRPr="000455AC" w:rsidRDefault="00CE452A" w:rsidP="00BD066A">
            <w:pPr>
              <w:rPr>
                <w:lang w:val="da-DK"/>
              </w:rPr>
            </w:pPr>
            <w:r w:rsidRPr="000455AC">
              <w:rPr>
                <w:lang w:val="da-DK"/>
              </w:rPr>
              <w:t>ISS</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C45AF99" w14:textId="77777777" w:rsidR="00CE452A" w:rsidRPr="000455AC" w:rsidRDefault="00CE452A" w:rsidP="00BD066A">
            <w:pPr>
              <w:jc w:val="right"/>
              <w:rPr>
                <w:lang w:val="da-DK"/>
              </w:rPr>
            </w:pPr>
            <w:r w:rsidRPr="000455AC">
              <w:rPr>
                <w:lang w:val="da-DK"/>
              </w:rPr>
              <w:t>8.973</w:t>
            </w:r>
          </w:p>
        </w:tc>
      </w:tr>
      <w:tr w:rsidR="00CE452A" w:rsidRPr="000455AC" w14:paraId="022D9CCC"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1C8FB2E9" w14:textId="77777777" w:rsidR="00CE452A" w:rsidRPr="000455AC" w:rsidRDefault="00CE452A" w:rsidP="00BD066A">
            <w:pPr>
              <w:rPr>
                <w:lang w:val="da-DK"/>
              </w:rPr>
            </w:pPr>
            <w:r w:rsidRPr="000455AC">
              <w:rPr>
                <w:lang w:val="da-DK"/>
              </w:rPr>
              <w:t>17.</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FCF47AC"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DFD5FB5" w14:textId="77777777" w:rsidR="00CE452A" w:rsidRPr="000455AC" w:rsidRDefault="00CE452A" w:rsidP="00BD066A">
            <w:pPr>
              <w:rPr>
                <w:lang w:val="da-DK"/>
              </w:rPr>
            </w:pPr>
            <w:r w:rsidRPr="000455AC">
              <w:rPr>
                <w:lang w:val="da-DK"/>
              </w:rPr>
              <w:t>Bavarian Nordic</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C4D94DE" w14:textId="77777777" w:rsidR="00CE452A" w:rsidRPr="000455AC" w:rsidRDefault="00CE452A" w:rsidP="00BD066A">
            <w:pPr>
              <w:rPr>
                <w:lang w:val="da-DK"/>
              </w:rPr>
            </w:pPr>
            <w:r w:rsidRPr="000455AC">
              <w:rPr>
                <w:lang w:val="da-DK"/>
              </w:rPr>
              <w:t>BAVA</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754FAFE" w14:textId="77777777" w:rsidR="00CE452A" w:rsidRPr="000455AC" w:rsidRDefault="00CE452A" w:rsidP="00BD066A">
            <w:pPr>
              <w:jc w:val="right"/>
              <w:rPr>
                <w:lang w:val="da-DK"/>
              </w:rPr>
            </w:pPr>
            <w:r w:rsidRPr="000455AC">
              <w:rPr>
                <w:lang w:val="da-DK"/>
              </w:rPr>
              <w:t>8.187</w:t>
            </w:r>
          </w:p>
        </w:tc>
      </w:tr>
      <w:tr w:rsidR="00CE452A" w:rsidRPr="000455AC" w14:paraId="5ED564C3"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AE4EC44" w14:textId="77777777" w:rsidR="00CE452A" w:rsidRPr="000455AC" w:rsidRDefault="00CE452A" w:rsidP="00BD066A">
            <w:pPr>
              <w:rPr>
                <w:lang w:val="da-DK"/>
              </w:rPr>
            </w:pPr>
            <w:r w:rsidRPr="000455AC">
              <w:rPr>
                <w:lang w:val="da-DK"/>
              </w:rPr>
              <w:t>18.</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B48C25A"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154B26A" w14:textId="77777777" w:rsidR="00CE452A" w:rsidRPr="000455AC" w:rsidRDefault="00CE452A" w:rsidP="00BD066A">
            <w:pPr>
              <w:rPr>
                <w:lang w:val="da-DK"/>
              </w:rPr>
            </w:pPr>
            <w:r w:rsidRPr="000455AC">
              <w:rPr>
                <w:lang w:val="da-DK"/>
              </w:rPr>
              <w:t>Chr. Hansen Holding</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94D5D6E" w14:textId="77777777" w:rsidR="00CE452A" w:rsidRPr="000455AC" w:rsidRDefault="00CE452A" w:rsidP="00BD066A">
            <w:pPr>
              <w:rPr>
                <w:lang w:val="da-DK"/>
              </w:rPr>
            </w:pPr>
            <w:r w:rsidRPr="000455AC">
              <w:rPr>
                <w:lang w:val="da-DK"/>
              </w:rPr>
              <w:t>CHR</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062565" w14:textId="77777777" w:rsidR="00CE452A" w:rsidRPr="000455AC" w:rsidRDefault="00CE452A" w:rsidP="00BD066A">
            <w:pPr>
              <w:jc w:val="right"/>
              <w:rPr>
                <w:lang w:val="da-DK"/>
              </w:rPr>
            </w:pPr>
            <w:r w:rsidRPr="000455AC">
              <w:rPr>
                <w:lang w:val="da-DK"/>
              </w:rPr>
              <w:t>7.795</w:t>
            </w:r>
          </w:p>
        </w:tc>
      </w:tr>
      <w:tr w:rsidR="00CE452A" w:rsidRPr="000455AC" w14:paraId="5ED56874"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B877B36" w14:textId="77777777" w:rsidR="00CE452A" w:rsidRPr="000455AC" w:rsidRDefault="00CE452A" w:rsidP="00BD066A">
            <w:pPr>
              <w:rPr>
                <w:lang w:val="da-DK"/>
              </w:rPr>
            </w:pPr>
            <w:r w:rsidRPr="000455AC">
              <w:rPr>
                <w:lang w:val="da-DK"/>
              </w:rPr>
              <w:t>19.</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78E8F72"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321F789" w14:textId="77777777" w:rsidR="00CE452A" w:rsidRPr="000455AC" w:rsidRDefault="00CE452A" w:rsidP="00BD066A">
            <w:pPr>
              <w:rPr>
                <w:lang w:val="da-DK"/>
              </w:rPr>
            </w:pPr>
            <w:r w:rsidRPr="000455AC">
              <w:rPr>
                <w:lang w:val="da-DK"/>
              </w:rPr>
              <w:t>Jyske Bank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922048F" w14:textId="77777777" w:rsidR="00CE452A" w:rsidRPr="000455AC" w:rsidRDefault="00CE452A" w:rsidP="00BD066A">
            <w:pPr>
              <w:rPr>
                <w:lang w:val="da-DK"/>
              </w:rPr>
            </w:pPr>
            <w:r w:rsidRPr="000455AC">
              <w:rPr>
                <w:lang w:val="da-DK"/>
              </w:rPr>
              <w:t>JYSK</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915A7DB" w14:textId="77777777" w:rsidR="00CE452A" w:rsidRPr="000455AC" w:rsidRDefault="00CE452A" w:rsidP="00BD066A">
            <w:pPr>
              <w:jc w:val="right"/>
              <w:rPr>
                <w:lang w:val="da-DK"/>
              </w:rPr>
            </w:pPr>
            <w:r w:rsidRPr="000455AC">
              <w:rPr>
                <w:lang w:val="da-DK"/>
              </w:rPr>
              <w:t>7.117</w:t>
            </w:r>
          </w:p>
        </w:tc>
      </w:tr>
      <w:tr w:rsidR="00CE452A" w:rsidRPr="000455AC" w14:paraId="4E623D6E"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C15198F" w14:textId="77777777" w:rsidR="00CE452A" w:rsidRPr="000455AC" w:rsidRDefault="00CE452A" w:rsidP="00BD066A">
            <w:pPr>
              <w:rPr>
                <w:lang w:val="da-DK"/>
              </w:rPr>
            </w:pPr>
            <w:r w:rsidRPr="000455AC">
              <w:rPr>
                <w:lang w:val="da-DK"/>
              </w:rPr>
              <w:t>20.</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082609D"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4C11C75" w14:textId="77777777" w:rsidR="00CE452A" w:rsidRPr="000455AC" w:rsidRDefault="00CE452A" w:rsidP="00BD066A">
            <w:pPr>
              <w:rPr>
                <w:lang w:val="da-DK"/>
              </w:rPr>
            </w:pPr>
            <w:r w:rsidRPr="000455AC">
              <w:rPr>
                <w:lang w:val="da-DK"/>
              </w:rPr>
              <w:t>Zealand Pharma</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F6DA1E7" w14:textId="77777777" w:rsidR="00CE452A" w:rsidRPr="000455AC" w:rsidRDefault="00CE452A" w:rsidP="00BD066A">
            <w:pPr>
              <w:rPr>
                <w:lang w:val="da-DK"/>
              </w:rPr>
            </w:pPr>
            <w:r w:rsidRPr="000455AC">
              <w:rPr>
                <w:lang w:val="da-DK"/>
              </w:rPr>
              <w:t>ZEAL</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BE8D5E4" w14:textId="77777777" w:rsidR="00CE452A" w:rsidRPr="000455AC" w:rsidRDefault="00CE452A" w:rsidP="00BD066A">
            <w:pPr>
              <w:jc w:val="right"/>
              <w:rPr>
                <w:lang w:val="da-DK"/>
              </w:rPr>
            </w:pPr>
            <w:r w:rsidRPr="000455AC">
              <w:rPr>
                <w:lang w:val="da-DK"/>
              </w:rPr>
              <w:t>7.105</w:t>
            </w:r>
          </w:p>
        </w:tc>
      </w:tr>
      <w:tr w:rsidR="00CE452A" w:rsidRPr="000455AC" w14:paraId="2D59D301"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29DB883E" w14:textId="77777777" w:rsidR="00CE452A" w:rsidRPr="000455AC" w:rsidRDefault="00CE452A" w:rsidP="00BD066A">
            <w:pPr>
              <w:rPr>
                <w:lang w:val="da-DK"/>
              </w:rPr>
            </w:pPr>
            <w:r w:rsidRPr="000455AC">
              <w:rPr>
                <w:lang w:val="da-DK"/>
              </w:rPr>
              <w:t>21.</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6067FD9"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63930E" w14:textId="77777777" w:rsidR="00CE452A" w:rsidRPr="000455AC" w:rsidRDefault="00CE452A" w:rsidP="00BD066A">
            <w:pPr>
              <w:rPr>
                <w:lang w:val="en-US"/>
              </w:rPr>
            </w:pPr>
            <w:r w:rsidRPr="000455AC">
              <w:rPr>
                <w:lang w:val="en-US"/>
              </w:rPr>
              <w:t>Rockwool A/S ser.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10D5727" w14:textId="77777777" w:rsidR="00CE452A" w:rsidRPr="000455AC" w:rsidRDefault="00CE452A" w:rsidP="00BD066A">
            <w:pPr>
              <w:rPr>
                <w:lang w:val="da-DK"/>
              </w:rPr>
            </w:pPr>
            <w:r w:rsidRPr="000455AC">
              <w:rPr>
                <w:lang w:val="da-DK"/>
              </w:rPr>
              <w:t>ROCK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7D54F8E" w14:textId="77777777" w:rsidR="00CE452A" w:rsidRPr="000455AC" w:rsidRDefault="00CE452A" w:rsidP="00BD066A">
            <w:pPr>
              <w:jc w:val="right"/>
              <w:rPr>
                <w:lang w:val="da-DK"/>
              </w:rPr>
            </w:pPr>
            <w:r w:rsidRPr="000455AC">
              <w:rPr>
                <w:lang w:val="da-DK"/>
              </w:rPr>
              <w:t>6.768</w:t>
            </w:r>
          </w:p>
        </w:tc>
      </w:tr>
      <w:tr w:rsidR="00CE452A" w:rsidRPr="000455AC" w14:paraId="2C4813F5"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A008DB9" w14:textId="77777777" w:rsidR="00CE452A" w:rsidRPr="000455AC" w:rsidRDefault="00CE452A" w:rsidP="00BD066A">
            <w:pPr>
              <w:rPr>
                <w:lang w:val="da-DK"/>
              </w:rPr>
            </w:pPr>
            <w:r w:rsidRPr="000455AC">
              <w:rPr>
                <w:lang w:val="da-DK"/>
              </w:rPr>
              <w:t>22.</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249F389"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A1095E0" w14:textId="77777777" w:rsidR="00CE452A" w:rsidRPr="000455AC" w:rsidRDefault="00CE452A" w:rsidP="00BD066A">
            <w:pPr>
              <w:rPr>
                <w:lang w:val="da-DK"/>
              </w:rPr>
            </w:pPr>
            <w:r w:rsidRPr="000455AC">
              <w:rPr>
                <w:lang w:val="da-DK"/>
              </w:rPr>
              <w:t>Ambu B</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9529AAD" w14:textId="77777777" w:rsidR="00CE452A" w:rsidRPr="000455AC" w:rsidRDefault="00CE452A" w:rsidP="00BD066A">
            <w:pPr>
              <w:rPr>
                <w:lang w:val="da-DK"/>
              </w:rPr>
            </w:pPr>
            <w:r w:rsidRPr="000455AC">
              <w:rPr>
                <w:lang w:val="da-DK"/>
              </w:rPr>
              <w:t>AMBU B</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104B2B2" w14:textId="77777777" w:rsidR="00CE452A" w:rsidRPr="000455AC" w:rsidRDefault="00CE452A" w:rsidP="00BD066A">
            <w:pPr>
              <w:jc w:val="right"/>
              <w:rPr>
                <w:lang w:val="da-DK"/>
              </w:rPr>
            </w:pPr>
            <w:r w:rsidRPr="000455AC">
              <w:rPr>
                <w:lang w:val="da-DK"/>
              </w:rPr>
              <w:t>6.621</w:t>
            </w:r>
          </w:p>
        </w:tc>
      </w:tr>
      <w:tr w:rsidR="00CE452A" w:rsidRPr="000455AC" w14:paraId="0BC368F8"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43267CF" w14:textId="77777777" w:rsidR="00CE452A" w:rsidRPr="000455AC" w:rsidRDefault="00CE452A" w:rsidP="00BD066A">
            <w:pPr>
              <w:rPr>
                <w:lang w:val="da-DK"/>
              </w:rPr>
            </w:pPr>
            <w:r w:rsidRPr="000455AC">
              <w:rPr>
                <w:lang w:val="da-DK"/>
              </w:rPr>
              <w:t>23.</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CC55250"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8F3D4FA" w14:textId="77777777" w:rsidR="00CE452A" w:rsidRPr="000455AC" w:rsidRDefault="00CE452A" w:rsidP="00BD066A">
            <w:pPr>
              <w:rPr>
                <w:lang w:val="da-DK"/>
              </w:rPr>
            </w:pPr>
            <w:r w:rsidRPr="000455AC">
              <w:rPr>
                <w:lang w:val="da-DK"/>
              </w:rPr>
              <w:t>Nordea Bank Abp</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D3E55DB" w14:textId="77777777" w:rsidR="00CE452A" w:rsidRPr="000455AC" w:rsidRDefault="00CE452A" w:rsidP="00BD066A">
            <w:pPr>
              <w:rPr>
                <w:lang w:val="da-DK"/>
              </w:rPr>
            </w:pPr>
            <w:r w:rsidRPr="000455AC">
              <w:rPr>
                <w:lang w:val="da-DK"/>
              </w:rPr>
              <w:t>NDA DK</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B70A6FF" w14:textId="77777777" w:rsidR="00CE452A" w:rsidRPr="000455AC" w:rsidRDefault="00CE452A" w:rsidP="00BD066A">
            <w:pPr>
              <w:jc w:val="right"/>
              <w:rPr>
                <w:lang w:val="da-DK"/>
              </w:rPr>
            </w:pPr>
            <w:r w:rsidRPr="000455AC">
              <w:rPr>
                <w:lang w:val="da-DK"/>
              </w:rPr>
              <w:t>6.505</w:t>
            </w:r>
          </w:p>
        </w:tc>
      </w:tr>
      <w:tr w:rsidR="00CE452A" w:rsidRPr="000455AC" w14:paraId="2B6577EF"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29EADE2" w14:textId="77777777" w:rsidR="00CE452A" w:rsidRPr="000455AC" w:rsidRDefault="00CE452A" w:rsidP="00BD066A">
            <w:pPr>
              <w:rPr>
                <w:lang w:val="da-DK"/>
              </w:rPr>
            </w:pPr>
            <w:r w:rsidRPr="000455AC">
              <w:rPr>
                <w:lang w:val="da-DK"/>
              </w:rPr>
              <w:t>24.</w:t>
            </w:r>
          </w:p>
        </w:tc>
        <w:tc>
          <w:tcPr>
            <w:tcW w:w="1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C81B55A"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7174060" w14:textId="77777777" w:rsidR="00CE452A" w:rsidRPr="000455AC" w:rsidRDefault="00CE452A" w:rsidP="00BD066A">
            <w:pPr>
              <w:rPr>
                <w:lang w:val="da-DK"/>
              </w:rPr>
            </w:pPr>
            <w:r w:rsidRPr="000455AC">
              <w:rPr>
                <w:lang w:val="da-DK"/>
              </w:rPr>
              <w:t>NKT A/S</w:t>
            </w:r>
          </w:p>
        </w:tc>
        <w:tc>
          <w:tcPr>
            <w:tcW w:w="148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20D4DF5" w14:textId="77777777" w:rsidR="00CE452A" w:rsidRPr="000455AC" w:rsidRDefault="00CE452A" w:rsidP="00BD066A">
            <w:pPr>
              <w:rPr>
                <w:lang w:val="da-DK"/>
              </w:rPr>
            </w:pPr>
            <w:r w:rsidRPr="000455AC">
              <w:rPr>
                <w:lang w:val="da-DK"/>
              </w:rPr>
              <w:t>NKT</w:t>
            </w:r>
          </w:p>
        </w:tc>
        <w:tc>
          <w:tcPr>
            <w:tcW w:w="3700"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3749ADB" w14:textId="77777777" w:rsidR="00CE452A" w:rsidRPr="000455AC" w:rsidRDefault="00CE452A" w:rsidP="00BD066A">
            <w:pPr>
              <w:jc w:val="right"/>
              <w:rPr>
                <w:lang w:val="da-DK"/>
              </w:rPr>
            </w:pPr>
            <w:r w:rsidRPr="000455AC">
              <w:rPr>
                <w:lang w:val="da-DK"/>
              </w:rPr>
              <w:t>6.215</w:t>
            </w:r>
          </w:p>
        </w:tc>
      </w:tr>
      <w:tr w:rsidR="00CE452A" w:rsidRPr="000455AC" w14:paraId="13ABB413" w14:textId="77777777" w:rsidTr="00BD066A">
        <w:trPr>
          <w:trHeight w:val="255"/>
        </w:trPr>
        <w:tc>
          <w:tcPr>
            <w:tcW w:w="540" w:type="dxa"/>
            <w:tcBorders>
              <w:top w:val="single" w:sz="4" w:space="0" w:color="FFFFFF"/>
              <w:left w:val="nil"/>
              <w:bottom w:val="single" w:sz="4" w:space="0" w:color="000000"/>
              <w:right w:val="nil"/>
            </w:tcBorders>
            <w:shd w:val="clear" w:color="auto" w:fill="auto"/>
            <w:tcMar>
              <w:top w:w="15" w:type="dxa"/>
              <w:left w:w="70" w:type="dxa"/>
              <w:bottom w:w="0" w:type="dxa"/>
              <w:right w:w="70" w:type="dxa"/>
            </w:tcMar>
            <w:vAlign w:val="bottom"/>
            <w:hideMark/>
          </w:tcPr>
          <w:p w14:paraId="6EB6E463" w14:textId="77777777" w:rsidR="00CE452A" w:rsidRPr="000455AC" w:rsidRDefault="00CE452A" w:rsidP="00BD066A">
            <w:pPr>
              <w:rPr>
                <w:lang w:val="da-DK"/>
              </w:rPr>
            </w:pPr>
            <w:r w:rsidRPr="000455AC">
              <w:rPr>
                <w:lang w:val="da-DK"/>
              </w:rPr>
              <w:t>25.</w:t>
            </w:r>
          </w:p>
        </w:tc>
        <w:tc>
          <w:tcPr>
            <w:tcW w:w="180"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79649EA0" w14:textId="77777777" w:rsidR="00CE452A" w:rsidRPr="000455AC" w:rsidRDefault="00CE452A" w:rsidP="00BD066A">
            <w:pPr>
              <w:rPr>
                <w:lang w:val="da-DK"/>
              </w:rPr>
            </w:pPr>
          </w:p>
        </w:tc>
        <w:tc>
          <w:tcPr>
            <w:tcW w:w="2660"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24265949" w14:textId="77777777" w:rsidR="00CE452A" w:rsidRPr="000455AC" w:rsidRDefault="00CE452A" w:rsidP="00BD066A">
            <w:pPr>
              <w:rPr>
                <w:lang w:val="da-DK"/>
              </w:rPr>
            </w:pPr>
            <w:r w:rsidRPr="000455AC">
              <w:rPr>
                <w:lang w:val="da-DK"/>
              </w:rPr>
              <w:t>Royal UNIBREW</w:t>
            </w:r>
          </w:p>
        </w:tc>
        <w:tc>
          <w:tcPr>
            <w:tcW w:w="1480"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6E3C146B" w14:textId="77777777" w:rsidR="00CE452A" w:rsidRPr="000455AC" w:rsidRDefault="00CE452A" w:rsidP="00BD066A">
            <w:pPr>
              <w:rPr>
                <w:lang w:val="da-DK"/>
              </w:rPr>
            </w:pPr>
            <w:r w:rsidRPr="000455AC">
              <w:rPr>
                <w:lang w:val="da-DK"/>
              </w:rPr>
              <w:t>RBREW</w:t>
            </w:r>
          </w:p>
        </w:tc>
        <w:tc>
          <w:tcPr>
            <w:tcW w:w="3700"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11E830FA" w14:textId="77777777" w:rsidR="00CE452A" w:rsidRPr="000455AC" w:rsidRDefault="00CE452A" w:rsidP="00BD066A">
            <w:pPr>
              <w:jc w:val="right"/>
              <w:rPr>
                <w:lang w:val="da-DK"/>
              </w:rPr>
            </w:pPr>
            <w:r w:rsidRPr="000455AC">
              <w:rPr>
                <w:lang w:val="da-DK"/>
              </w:rPr>
              <w:t>6.167</w:t>
            </w:r>
          </w:p>
        </w:tc>
      </w:tr>
      <w:tr w:rsidR="00CE452A" w:rsidRPr="000455AC" w14:paraId="2253EEAC" w14:textId="77777777" w:rsidTr="00BD066A">
        <w:trPr>
          <w:trHeight w:val="255"/>
        </w:trPr>
        <w:tc>
          <w:tcPr>
            <w:tcW w:w="540" w:type="dxa"/>
            <w:tcBorders>
              <w:top w:val="single" w:sz="4" w:space="0" w:color="000000"/>
              <w:left w:val="nil"/>
              <w:bottom w:val="single" w:sz="4" w:space="0" w:color="FFFFFF"/>
              <w:right w:val="nil"/>
            </w:tcBorders>
            <w:shd w:val="clear" w:color="auto" w:fill="auto"/>
            <w:tcMar>
              <w:top w:w="15" w:type="dxa"/>
              <w:left w:w="70" w:type="dxa"/>
              <w:bottom w:w="0" w:type="dxa"/>
              <w:right w:w="70" w:type="dxa"/>
            </w:tcMar>
            <w:vAlign w:val="bottom"/>
            <w:hideMark/>
          </w:tcPr>
          <w:p w14:paraId="3D27FACB" w14:textId="77777777" w:rsidR="00CE452A" w:rsidRPr="000455AC" w:rsidRDefault="00CE452A" w:rsidP="00BD066A">
            <w:pPr>
              <w:rPr>
                <w:lang w:val="da-DK"/>
              </w:rPr>
            </w:pPr>
            <w:r w:rsidRPr="000455AC">
              <w:rPr>
                <w:lang w:val="da-DK"/>
              </w:rPr>
              <w:t>26.</w:t>
            </w:r>
          </w:p>
        </w:tc>
        <w:tc>
          <w:tcPr>
            <w:tcW w:w="180" w:type="dxa"/>
            <w:tcBorders>
              <w:top w:val="single" w:sz="4" w:space="0" w:color="000000"/>
              <w:left w:val="nil"/>
              <w:bottom w:val="single" w:sz="8" w:space="0" w:color="FFFFFF"/>
              <w:right w:val="nil"/>
            </w:tcBorders>
            <w:shd w:val="clear" w:color="auto" w:fill="FFEEF2"/>
            <w:tcMar>
              <w:top w:w="15" w:type="dxa"/>
              <w:left w:w="70" w:type="dxa"/>
              <w:bottom w:w="0" w:type="dxa"/>
              <w:right w:w="70" w:type="dxa"/>
            </w:tcMar>
            <w:vAlign w:val="bottom"/>
            <w:hideMark/>
          </w:tcPr>
          <w:p w14:paraId="41CD18EF" w14:textId="77777777" w:rsidR="00CE452A" w:rsidRPr="000455AC" w:rsidRDefault="00CE452A" w:rsidP="00BD066A">
            <w:pPr>
              <w:rPr>
                <w:lang w:val="da-DK"/>
              </w:rPr>
            </w:pPr>
          </w:p>
        </w:tc>
        <w:tc>
          <w:tcPr>
            <w:tcW w:w="2660" w:type="dxa"/>
            <w:tcBorders>
              <w:top w:val="single" w:sz="4" w:space="0" w:color="000000"/>
              <w:left w:val="nil"/>
              <w:bottom w:val="single" w:sz="8" w:space="0" w:color="FFFFFF"/>
              <w:right w:val="nil"/>
            </w:tcBorders>
            <w:shd w:val="clear" w:color="auto" w:fill="FFEEF2"/>
            <w:tcMar>
              <w:top w:w="15" w:type="dxa"/>
              <w:left w:w="70" w:type="dxa"/>
              <w:bottom w:w="0" w:type="dxa"/>
              <w:right w:w="70" w:type="dxa"/>
            </w:tcMar>
            <w:vAlign w:val="bottom"/>
            <w:hideMark/>
          </w:tcPr>
          <w:p w14:paraId="744264D5" w14:textId="77777777" w:rsidR="00CE452A" w:rsidRPr="000455AC" w:rsidRDefault="00CE452A" w:rsidP="00BD066A">
            <w:pPr>
              <w:rPr>
                <w:lang w:val="da-DK"/>
              </w:rPr>
            </w:pPr>
            <w:r w:rsidRPr="000455AC">
              <w:rPr>
                <w:lang w:val="da-DK"/>
              </w:rPr>
              <w:t>FLSmidth &amp; Co.</w:t>
            </w:r>
          </w:p>
        </w:tc>
        <w:tc>
          <w:tcPr>
            <w:tcW w:w="1480" w:type="dxa"/>
            <w:tcBorders>
              <w:top w:val="single" w:sz="4" w:space="0" w:color="000000"/>
              <w:left w:val="nil"/>
              <w:bottom w:val="single" w:sz="8" w:space="0" w:color="FFFFFF"/>
              <w:right w:val="nil"/>
            </w:tcBorders>
            <w:shd w:val="clear" w:color="auto" w:fill="FFEEF2"/>
            <w:tcMar>
              <w:top w:w="15" w:type="dxa"/>
              <w:left w:w="70" w:type="dxa"/>
              <w:bottom w:w="0" w:type="dxa"/>
              <w:right w:w="70" w:type="dxa"/>
            </w:tcMar>
            <w:vAlign w:val="bottom"/>
            <w:hideMark/>
          </w:tcPr>
          <w:p w14:paraId="322341AE" w14:textId="77777777" w:rsidR="00CE452A" w:rsidRPr="000455AC" w:rsidRDefault="00CE452A" w:rsidP="00BD066A">
            <w:pPr>
              <w:rPr>
                <w:lang w:val="da-DK"/>
              </w:rPr>
            </w:pPr>
            <w:r w:rsidRPr="000455AC">
              <w:rPr>
                <w:lang w:val="da-DK"/>
              </w:rPr>
              <w:t>FLS</w:t>
            </w:r>
          </w:p>
        </w:tc>
        <w:tc>
          <w:tcPr>
            <w:tcW w:w="3700" w:type="dxa"/>
            <w:tcBorders>
              <w:top w:val="single" w:sz="4" w:space="0" w:color="000000"/>
              <w:left w:val="nil"/>
              <w:bottom w:val="single" w:sz="8" w:space="0" w:color="FFFFFF"/>
              <w:right w:val="nil"/>
            </w:tcBorders>
            <w:shd w:val="clear" w:color="auto" w:fill="FFEEF2"/>
            <w:tcMar>
              <w:top w:w="15" w:type="dxa"/>
              <w:left w:w="70" w:type="dxa"/>
              <w:bottom w:w="0" w:type="dxa"/>
              <w:right w:w="70" w:type="dxa"/>
            </w:tcMar>
            <w:vAlign w:val="bottom"/>
            <w:hideMark/>
          </w:tcPr>
          <w:p w14:paraId="0D9B8542" w14:textId="77777777" w:rsidR="00CE452A" w:rsidRPr="000455AC" w:rsidRDefault="00CE452A" w:rsidP="00BD066A">
            <w:pPr>
              <w:jc w:val="right"/>
              <w:rPr>
                <w:lang w:val="da-DK"/>
              </w:rPr>
            </w:pPr>
            <w:r w:rsidRPr="000455AC">
              <w:rPr>
                <w:lang w:val="da-DK"/>
              </w:rPr>
              <w:t>5.082</w:t>
            </w:r>
          </w:p>
        </w:tc>
      </w:tr>
      <w:tr w:rsidR="00CE452A" w:rsidRPr="000455AC" w14:paraId="4EE14865"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08F81115" w14:textId="77777777" w:rsidR="00CE452A" w:rsidRPr="000455AC" w:rsidRDefault="00CE452A" w:rsidP="00BD066A">
            <w:pPr>
              <w:rPr>
                <w:lang w:val="da-DK"/>
              </w:rPr>
            </w:pPr>
            <w:r w:rsidRPr="000455AC">
              <w:rPr>
                <w:lang w:val="da-DK"/>
              </w:rPr>
              <w:lastRenderedPageBreak/>
              <w:t>27.</w:t>
            </w:r>
          </w:p>
        </w:tc>
        <w:tc>
          <w:tcPr>
            <w:tcW w:w="1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FB408E1"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8C566B2" w14:textId="77777777" w:rsidR="00CE452A" w:rsidRPr="000455AC" w:rsidRDefault="00CE452A" w:rsidP="00BD066A">
            <w:pPr>
              <w:rPr>
                <w:lang w:val="da-DK"/>
              </w:rPr>
            </w:pPr>
            <w:r w:rsidRPr="000455AC">
              <w:rPr>
                <w:lang w:val="da-DK"/>
              </w:rPr>
              <w:t>Netcompany Group A/S</w:t>
            </w:r>
          </w:p>
        </w:tc>
        <w:tc>
          <w:tcPr>
            <w:tcW w:w="14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38019507" w14:textId="77777777" w:rsidR="00CE452A" w:rsidRPr="000455AC" w:rsidRDefault="00CE452A" w:rsidP="00BD066A">
            <w:pPr>
              <w:rPr>
                <w:lang w:val="da-DK"/>
              </w:rPr>
            </w:pPr>
            <w:r w:rsidRPr="000455AC">
              <w:rPr>
                <w:lang w:val="da-DK"/>
              </w:rPr>
              <w:t>NETC</w:t>
            </w:r>
          </w:p>
        </w:tc>
        <w:tc>
          <w:tcPr>
            <w:tcW w:w="370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FBF09A2" w14:textId="77777777" w:rsidR="00CE452A" w:rsidRPr="000455AC" w:rsidRDefault="00CE452A" w:rsidP="00BD066A">
            <w:pPr>
              <w:jc w:val="right"/>
              <w:rPr>
                <w:lang w:val="da-DK"/>
              </w:rPr>
            </w:pPr>
            <w:r w:rsidRPr="000455AC">
              <w:rPr>
                <w:lang w:val="da-DK"/>
              </w:rPr>
              <w:t>4.860</w:t>
            </w:r>
          </w:p>
        </w:tc>
      </w:tr>
      <w:tr w:rsidR="00CE452A" w:rsidRPr="000455AC" w14:paraId="66B94A23"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33A31B8A" w14:textId="77777777" w:rsidR="00CE452A" w:rsidRPr="000455AC" w:rsidRDefault="00CE452A" w:rsidP="00BD066A">
            <w:pPr>
              <w:rPr>
                <w:lang w:val="da-DK"/>
              </w:rPr>
            </w:pPr>
            <w:r w:rsidRPr="000455AC">
              <w:rPr>
                <w:lang w:val="da-DK"/>
              </w:rPr>
              <w:t>28.</w:t>
            </w:r>
          </w:p>
        </w:tc>
        <w:tc>
          <w:tcPr>
            <w:tcW w:w="1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364569A"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0B5B00C7" w14:textId="77777777" w:rsidR="00CE452A" w:rsidRPr="000455AC" w:rsidRDefault="00CE452A" w:rsidP="00BD066A">
            <w:pPr>
              <w:rPr>
                <w:lang w:val="da-DK"/>
              </w:rPr>
            </w:pPr>
            <w:proofErr w:type="gramStart"/>
            <w:r w:rsidRPr="000455AC">
              <w:rPr>
                <w:lang w:val="da-DK"/>
              </w:rPr>
              <w:t>TORM plc</w:t>
            </w:r>
            <w:proofErr w:type="gramEnd"/>
            <w:r w:rsidRPr="000455AC">
              <w:rPr>
                <w:lang w:val="da-DK"/>
              </w:rPr>
              <w:t xml:space="preserve"> A</w:t>
            </w:r>
          </w:p>
        </w:tc>
        <w:tc>
          <w:tcPr>
            <w:tcW w:w="14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3D3999ED" w14:textId="77777777" w:rsidR="00CE452A" w:rsidRPr="000455AC" w:rsidRDefault="00CE452A" w:rsidP="00BD066A">
            <w:pPr>
              <w:rPr>
                <w:lang w:val="da-DK"/>
              </w:rPr>
            </w:pPr>
            <w:r w:rsidRPr="000455AC">
              <w:rPr>
                <w:lang w:val="da-DK"/>
              </w:rPr>
              <w:t>TRMD A</w:t>
            </w:r>
          </w:p>
        </w:tc>
        <w:tc>
          <w:tcPr>
            <w:tcW w:w="370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5D2E573" w14:textId="77777777" w:rsidR="00CE452A" w:rsidRPr="000455AC" w:rsidRDefault="00CE452A" w:rsidP="00BD066A">
            <w:pPr>
              <w:jc w:val="right"/>
              <w:rPr>
                <w:lang w:val="da-DK"/>
              </w:rPr>
            </w:pPr>
            <w:r w:rsidRPr="000455AC">
              <w:rPr>
                <w:lang w:val="da-DK"/>
              </w:rPr>
              <w:t>4.590</w:t>
            </w:r>
          </w:p>
        </w:tc>
      </w:tr>
      <w:tr w:rsidR="00CE452A" w:rsidRPr="000455AC" w14:paraId="6E3094EF" w14:textId="77777777" w:rsidTr="00BD066A">
        <w:trPr>
          <w:trHeight w:val="255"/>
        </w:trPr>
        <w:tc>
          <w:tcPr>
            <w:tcW w:w="540" w:type="dxa"/>
            <w:tcBorders>
              <w:top w:val="single" w:sz="4" w:space="0" w:color="FFFFFF"/>
              <w:left w:val="nil"/>
              <w:bottom w:val="single" w:sz="4" w:space="0" w:color="FFFFFF"/>
              <w:right w:val="nil"/>
            </w:tcBorders>
            <w:shd w:val="clear" w:color="auto" w:fill="auto"/>
            <w:tcMar>
              <w:top w:w="15" w:type="dxa"/>
              <w:left w:w="70" w:type="dxa"/>
              <w:bottom w:w="0" w:type="dxa"/>
              <w:right w:w="70" w:type="dxa"/>
            </w:tcMar>
            <w:vAlign w:val="bottom"/>
            <w:hideMark/>
          </w:tcPr>
          <w:p w14:paraId="6D5E06FD" w14:textId="77777777" w:rsidR="00CE452A" w:rsidRPr="000455AC" w:rsidRDefault="00CE452A" w:rsidP="00BD066A">
            <w:pPr>
              <w:rPr>
                <w:lang w:val="da-DK"/>
              </w:rPr>
            </w:pPr>
            <w:r w:rsidRPr="000455AC">
              <w:rPr>
                <w:lang w:val="da-DK"/>
              </w:rPr>
              <w:t>29.</w:t>
            </w:r>
          </w:p>
        </w:tc>
        <w:tc>
          <w:tcPr>
            <w:tcW w:w="1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4B3F15CA" w14:textId="77777777" w:rsidR="00CE452A" w:rsidRPr="000455AC" w:rsidRDefault="00CE452A" w:rsidP="00BD066A">
            <w:pPr>
              <w:rPr>
                <w:lang w:val="da-DK"/>
              </w:rPr>
            </w:pPr>
          </w:p>
        </w:tc>
        <w:tc>
          <w:tcPr>
            <w:tcW w:w="266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4E33C637" w14:textId="77777777" w:rsidR="00CE452A" w:rsidRPr="000455AC" w:rsidRDefault="00CE452A" w:rsidP="00BD066A">
            <w:pPr>
              <w:rPr>
                <w:lang w:val="da-DK"/>
              </w:rPr>
            </w:pPr>
            <w:r w:rsidRPr="000455AC">
              <w:rPr>
                <w:lang w:val="da-DK"/>
              </w:rPr>
              <w:t>Sydbank</w:t>
            </w:r>
          </w:p>
        </w:tc>
        <w:tc>
          <w:tcPr>
            <w:tcW w:w="148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33481209" w14:textId="77777777" w:rsidR="00CE452A" w:rsidRPr="000455AC" w:rsidRDefault="00CE452A" w:rsidP="00BD066A">
            <w:pPr>
              <w:rPr>
                <w:lang w:val="da-DK"/>
              </w:rPr>
            </w:pPr>
            <w:r w:rsidRPr="000455AC">
              <w:rPr>
                <w:lang w:val="da-DK"/>
              </w:rPr>
              <w:t>SYDB</w:t>
            </w:r>
          </w:p>
        </w:tc>
        <w:tc>
          <w:tcPr>
            <w:tcW w:w="3700"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EE8A5E1" w14:textId="77777777" w:rsidR="00CE452A" w:rsidRPr="000455AC" w:rsidRDefault="00CE452A" w:rsidP="00BD066A">
            <w:pPr>
              <w:jc w:val="right"/>
              <w:rPr>
                <w:lang w:val="da-DK"/>
              </w:rPr>
            </w:pPr>
            <w:r w:rsidRPr="000455AC">
              <w:rPr>
                <w:lang w:val="da-DK"/>
              </w:rPr>
              <w:t>4.513</w:t>
            </w:r>
          </w:p>
        </w:tc>
      </w:tr>
      <w:tr w:rsidR="00CE452A" w:rsidRPr="000455AC" w14:paraId="7108C5E8" w14:textId="77777777" w:rsidTr="00BD066A">
        <w:trPr>
          <w:trHeight w:val="255"/>
        </w:trPr>
        <w:tc>
          <w:tcPr>
            <w:tcW w:w="540" w:type="dxa"/>
            <w:tcBorders>
              <w:top w:val="single" w:sz="4" w:space="0" w:color="FFFFFF"/>
              <w:left w:val="nil"/>
              <w:bottom w:val="single" w:sz="4" w:space="0" w:color="000000"/>
              <w:right w:val="nil"/>
            </w:tcBorders>
            <w:shd w:val="clear" w:color="auto" w:fill="auto"/>
            <w:tcMar>
              <w:top w:w="15" w:type="dxa"/>
              <w:left w:w="70" w:type="dxa"/>
              <w:bottom w:w="0" w:type="dxa"/>
              <w:right w:w="70" w:type="dxa"/>
            </w:tcMar>
            <w:vAlign w:val="bottom"/>
            <w:hideMark/>
          </w:tcPr>
          <w:p w14:paraId="58CE79C0" w14:textId="77777777" w:rsidR="00CE452A" w:rsidRPr="000455AC" w:rsidRDefault="00CE452A" w:rsidP="00BD066A">
            <w:pPr>
              <w:rPr>
                <w:lang w:val="da-DK"/>
              </w:rPr>
            </w:pPr>
            <w:r w:rsidRPr="000455AC">
              <w:rPr>
                <w:lang w:val="da-DK"/>
              </w:rPr>
              <w:t>30.</w:t>
            </w:r>
          </w:p>
        </w:tc>
        <w:tc>
          <w:tcPr>
            <w:tcW w:w="180" w:type="dxa"/>
            <w:tcBorders>
              <w:top w:val="single" w:sz="8" w:space="0" w:color="FFFFFF"/>
              <w:left w:val="nil"/>
              <w:bottom w:val="single" w:sz="4" w:space="0" w:color="000000"/>
              <w:right w:val="nil"/>
            </w:tcBorders>
            <w:shd w:val="clear" w:color="auto" w:fill="FFEEF2"/>
            <w:tcMar>
              <w:top w:w="15" w:type="dxa"/>
              <w:left w:w="70" w:type="dxa"/>
              <w:bottom w:w="0" w:type="dxa"/>
              <w:right w:w="70" w:type="dxa"/>
            </w:tcMar>
            <w:vAlign w:val="bottom"/>
            <w:hideMark/>
          </w:tcPr>
          <w:p w14:paraId="0421AE5E" w14:textId="77777777" w:rsidR="00CE452A" w:rsidRPr="000455AC" w:rsidRDefault="00CE452A" w:rsidP="00BD066A">
            <w:pPr>
              <w:rPr>
                <w:lang w:val="da-DK"/>
              </w:rPr>
            </w:pPr>
          </w:p>
        </w:tc>
        <w:tc>
          <w:tcPr>
            <w:tcW w:w="2660" w:type="dxa"/>
            <w:tcBorders>
              <w:top w:val="single" w:sz="8" w:space="0" w:color="FFFFFF"/>
              <w:left w:val="nil"/>
              <w:bottom w:val="single" w:sz="4" w:space="0" w:color="000000"/>
              <w:right w:val="nil"/>
            </w:tcBorders>
            <w:shd w:val="clear" w:color="auto" w:fill="FFEEF2"/>
            <w:tcMar>
              <w:top w:w="15" w:type="dxa"/>
              <w:left w:w="70" w:type="dxa"/>
              <w:bottom w:w="0" w:type="dxa"/>
              <w:right w:w="70" w:type="dxa"/>
            </w:tcMar>
            <w:vAlign w:val="bottom"/>
            <w:hideMark/>
          </w:tcPr>
          <w:p w14:paraId="1B2B0A0B" w14:textId="77777777" w:rsidR="00CE452A" w:rsidRPr="000455AC" w:rsidRDefault="00CE452A" w:rsidP="00BD066A">
            <w:pPr>
              <w:rPr>
                <w:lang w:val="da-DK"/>
              </w:rPr>
            </w:pPr>
            <w:r w:rsidRPr="000455AC">
              <w:rPr>
                <w:lang w:val="da-DK"/>
              </w:rPr>
              <w:t>ALK-Abello B</w:t>
            </w:r>
          </w:p>
        </w:tc>
        <w:tc>
          <w:tcPr>
            <w:tcW w:w="1480" w:type="dxa"/>
            <w:tcBorders>
              <w:top w:val="single" w:sz="8" w:space="0" w:color="FFFFFF"/>
              <w:left w:val="nil"/>
              <w:bottom w:val="single" w:sz="4" w:space="0" w:color="000000"/>
              <w:right w:val="nil"/>
            </w:tcBorders>
            <w:shd w:val="clear" w:color="auto" w:fill="FFEEF2"/>
            <w:tcMar>
              <w:top w:w="15" w:type="dxa"/>
              <w:left w:w="70" w:type="dxa"/>
              <w:bottom w:w="0" w:type="dxa"/>
              <w:right w:w="70" w:type="dxa"/>
            </w:tcMar>
            <w:vAlign w:val="bottom"/>
            <w:hideMark/>
          </w:tcPr>
          <w:p w14:paraId="5D2CFCD2" w14:textId="77777777" w:rsidR="00CE452A" w:rsidRPr="000455AC" w:rsidRDefault="00CE452A" w:rsidP="00BD066A">
            <w:pPr>
              <w:rPr>
                <w:lang w:val="da-DK"/>
              </w:rPr>
            </w:pPr>
            <w:r w:rsidRPr="000455AC">
              <w:rPr>
                <w:lang w:val="da-DK"/>
              </w:rPr>
              <w:t>ALK B</w:t>
            </w:r>
          </w:p>
        </w:tc>
        <w:tc>
          <w:tcPr>
            <w:tcW w:w="3700" w:type="dxa"/>
            <w:tcBorders>
              <w:top w:val="single" w:sz="8" w:space="0" w:color="FFFFFF"/>
              <w:left w:val="nil"/>
              <w:bottom w:val="single" w:sz="4" w:space="0" w:color="000000"/>
              <w:right w:val="nil"/>
            </w:tcBorders>
            <w:shd w:val="clear" w:color="auto" w:fill="FFEEF2"/>
            <w:tcMar>
              <w:top w:w="15" w:type="dxa"/>
              <w:left w:w="70" w:type="dxa"/>
              <w:bottom w:w="0" w:type="dxa"/>
              <w:right w:w="70" w:type="dxa"/>
            </w:tcMar>
            <w:vAlign w:val="bottom"/>
            <w:hideMark/>
          </w:tcPr>
          <w:p w14:paraId="21EBE04E" w14:textId="77777777" w:rsidR="00CE452A" w:rsidRPr="000455AC" w:rsidRDefault="00CE452A" w:rsidP="00BD066A">
            <w:pPr>
              <w:jc w:val="right"/>
              <w:rPr>
                <w:lang w:val="da-DK"/>
              </w:rPr>
            </w:pPr>
            <w:r w:rsidRPr="000455AC">
              <w:rPr>
                <w:lang w:val="da-DK"/>
              </w:rPr>
              <w:t>4.358</w:t>
            </w:r>
          </w:p>
        </w:tc>
      </w:tr>
    </w:tbl>
    <w:p w14:paraId="6F7BEF30" w14:textId="77777777" w:rsidR="00C069B9" w:rsidRDefault="00C069B9">
      <w:pPr>
        <w:rPr>
          <w:lang w:val="da-DK"/>
        </w:rPr>
      </w:pPr>
    </w:p>
    <w:p w14:paraId="4657923F" w14:textId="77777777" w:rsidR="00C069B9" w:rsidRDefault="00C069B9">
      <w:pPr>
        <w:rPr>
          <w:lang w:val="da-DK"/>
        </w:rPr>
      </w:pPr>
    </w:p>
    <w:p w14:paraId="2FB9A028" w14:textId="77777777" w:rsidR="003F5D7C" w:rsidRDefault="003F5D7C" w:rsidP="003F5D7C">
      <w:r w:rsidRPr="003F5D7C">
        <w:rPr>
          <w:color w:val="FF2B83"/>
        </w:rPr>
        <w:t xml:space="preserve">Figur 3: </w:t>
      </w:r>
      <w:r w:rsidRPr="003F5D7C">
        <w:t xml:space="preserve">Nordnets beregning af de </w:t>
      </w:r>
      <w:r w:rsidRPr="003F5D7C">
        <w:rPr>
          <w:color w:val="FF2B83"/>
        </w:rPr>
        <w:t xml:space="preserve">fremtidige aktier i OMX C25 </w:t>
      </w:r>
      <w:r w:rsidRPr="003F5D7C">
        <w:t>indekset med udgangspunkt i data per 17/11.</w:t>
      </w:r>
    </w:p>
    <w:p w14:paraId="1AB0492F" w14:textId="26307589" w:rsidR="00A54963" w:rsidRPr="003F5D7C" w:rsidRDefault="00A54963" w:rsidP="003F5D7C">
      <w:r>
        <w:t>Kilde: Nordnet, Egen tilvirkning</w:t>
      </w:r>
    </w:p>
    <w:p w14:paraId="7F41F6F1" w14:textId="77777777" w:rsidR="003F5D7C" w:rsidRDefault="003F5D7C" w:rsidP="003F5D7C"/>
    <w:tbl>
      <w:tblPr>
        <w:tblW w:w="8647" w:type="dxa"/>
        <w:tblCellMar>
          <w:left w:w="0" w:type="dxa"/>
          <w:right w:w="0" w:type="dxa"/>
        </w:tblCellMar>
        <w:tblLook w:val="0400" w:firstRow="0" w:lastRow="0" w:firstColumn="0" w:lastColumn="0" w:noHBand="0" w:noVBand="1"/>
      </w:tblPr>
      <w:tblGrid>
        <w:gridCol w:w="201"/>
        <w:gridCol w:w="2553"/>
        <w:gridCol w:w="3058"/>
        <w:gridCol w:w="2835"/>
      </w:tblGrid>
      <w:tr w:rsidR="003F5D7C" w:rsidRPr="000455AC" w14:paraId="3321C1AD" w14:textId="77777777" w:rsidTr="00BD066A">
        <w:trPr>
          <w:trHeight w:val="255"/>
        </w:trPr>
        <w:tc>
          <w:tcPr>
            <w:tcW w:w="201"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20AB88A5" w14:textId="77777777" w:rsidR="003F5D7C" w:rsidRPr="000455AC" w:rsidRDefault="003F5D7C" w:rsidP="00BD066A">
            <w:pPr>
              <w:rPr>
                <w:lang w:val="da-DK"/>
              </w:rPr>
            </w:pPr>
          </w:p>
        </w:tc>
        <w:tc>
          <w:tcPr>
            <w:tcW w:w="2553"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6FA5D69D" w14:textId="77777777" w:rsidR="003F5D7C" w:rsidRPr="000455AC" w:rsidRDefault="003F5D7C" w:rsidP="00BD066A">
            <w:pPr>
              <w:rPr>
                <w:lang w:val="da-DK"/>
              </w:rPr>
            </w:pPr>
            <w:r w:rsidRPr="000455AC">
              <w:rPr>
                <w:b/>
                <w:bCs/>
                <w:lang w:val="en-US"/>
              </w:rPr>
              <w:t>Bibeholdte aktier</w:t>
            </w:r>
          </w:p>
        </w:tc>
        <w:tc>
          <w:tcPr>
            <w:tcW w:w="3058"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48273979" w14:textId="77777777" w:rsidR="003F5D7C" w:rsidRPr="000455AC" w:rsidRDefault="003F5D7C" w:rsidP="00BD066A">
            <w:pPr>
              <w:rPr>
                <w:lang w:val="da-DK"/>
              </w:rPr>
            </w:pPr>
            <w:r w:rsidRPr="000455AC">
              <w:rPr>
                <w:b/>
                <w:bCs/>
                <w:lang w:val="da-DK"/>
              </w:rPr>
              <w:t>Ekskluderede aktier</w:t>
            </w:r>
          </w:p>
        </w:tc>
        <w:tc>
          <w:tcPr>
            <w:tcW w:w="2835" w:type="dxa"/>
            <w:tcBorders>
              <w:top w:val="nil"/>
              <w:left w:val="nil"/>
              <w:bottom w:val="single" w:sz="4" w:space="0" w:color="000000"/>
              <w:right w:val="nil"/>
            </w:tcBorders>
            <w:shd w:val="clear" w:color="auto" w:fill="auto"/>
            <w:tcMar>
              <w:top w:w="15" w:type="dxa"/>
              <w:left w:w="70" w:type="dxa"/>
              <w:bottom w:w="0" w:type="dxa"/>
              <w:right w:w="70" w:type="dxa"/>
            </w:tcMar>
            <w:vAlign w:val="bottom"/>
            <w:hideMark/>
          </w:tcPr>
          <w:p w14:paraId="23D4BB4A" w14:textId="77777777" w:rsidR="003F5D7C" w:rsidRPr="000455AC" w:rsidRDefault="003F5D7C" w:rsidP="00BD066A">
            <w:pPr>
              <w:rPr>
                <w:lang w:val="da-DK"/>
              </w:rPr>
            </w:pPr>
            <w:r w:rsidRPr="000455AC">
              <w:rPr>
                <w:b/>
                <w:bCs/>
                <w:lang w:val="en-US"/>
              </w:rPr>
              <w:t>Inkluderede aktier</w:t>
            </w:r>
          </w:p>
        </w:tc>
      </w:tr>
      <w:tr w:rsidR="003F5D7C" w:rsidRPr="000455AC" w14:paraId="349321CB" w14:textId="77777777" w:rsidTr="00BD066A">
        <w:trPr>
          <w:trHeight w:val="255"/>
        </w:trPr>
        <w:tc>
          <w:tcPr>
            <w:tcW w:w="201" w:type="dxa"/>
            <w:tcBorders>
              <w:top w:val="single" w:sz="4" w:space="0" w:color="000000"/>
              <w:left w:val="nil"/>
              <w:bottom w:val="single" w:sz="4" w:space="0" w:color="FFFFFF"/>
              <w:right w:val="nil"/>
            </w:tcBorders>
            <w:shd w:val="clear" w:color="auto" w:fill="F2F2F2"/>
            <w:tcMar>
              <w:top w:w="15" w:type="dxa"/>
              <w:left w:w="70" w:type="dxa"/>
              <w:bottom w:w="0" w:type="dxa"/>
              <w:right w:w="70" w:type="dxa"/>
            </w:tcMar>
            <w:vAlign w:val="bottom"/>
            <w:hideMark/>
          </w:tcPr>
          <w:p w14:paraId="310FE1BD" w14:textId="77777777" w:rsidR="003F5D7C" w:rsidRPr="000455AC" w:rsidRDefault="003F5D7C" w:rsidP="00BD066A">
            <w:pPr>
              <w:rPr>
                <w:lang w:val="da-DK"/>
              </w:rPr>
            </w:pPr>
          </w:p>
        </w:tc>
        <w:tc>
          <w:tcPr>
            <w:tcW w:w="2553" w:type="dxa"/>
            <w:tcBorders>
              <w:top w:val="single" w:sz="4" w:space="0" w:color="000000"/>
              <w:left w:val="nil"/>
              <w:bottom w:val="single" w:sz="8" w:space="0" w:color="FFFFFF"/>
              <w:right w:val="nil"/>
            </w:tcBorders>
            <w:shd w:val="clear" w:color="auto" w:fill="F2F2F2"/>
            <w:tcMar>
              <w:top w:w="15" w:type="dxa"/>
              <w:left w:w="70" w:type="dxa"/>
              <w:bottom w:w="0" w:type="dxa"/>
              <w:right w:w="70" w:type="dxa"/>
            </w:tcMar>
            <w:vAlign w:val="bottom"/>
            <w:hideMark/>
          </w:tcPr>
          <w:p w14:paraId="4953EBF9" w14:textId="77777777" w:rsidR="003F5D7C" w:rsidRPr="000455AC" w:rsidRDefault="003F5D7C" w:rsidP="00BD066A">
            <w:pPr>
              <w:rPr>
                <w:lang w:val="da-DK"/>
              </w:rPr>
            </w:pPr>
            <w:r w:rsidRPr="000455AC">
              <w:rPr>
                <w:lang w:val="da-DK"/>
              </w:rPr>
              <w:t>A.P. Moller - Maersk A</w:t>
            </w:r>
          </w:p>
        </w:tc>
        <w:tc>
          <w:tcPr>
            <w:tcW w:w="3058" w:type="dxa"/>
            <w:tcBorders>
              <w:top w:val="single" w:sz="4" w:space="0" w:color="000000"/>
              <w:left w:val="nil"/>
              <w:bottom w:val="single" w:sz="8" w:space="0" w:color="FFFFFF"/>
              <w:right w:val="nil"/>
            </w:tcBorders>
            <w:shd w:val="clear" w:color="auto" w:fill="FFEEF2"/>
            <w:tcMar>
              <w:top w:w="15" w:type="dxa"/>
              <w:left w:w="70" w:type="dxa"/>
              <w:bottom w:w="0" w:type="dxa"/>
              <w:right w:w="70" w:type="dxa"/>
            </w:tcMar>
            <w:vAlign w:val="bottom"/>
            <w:hideMark/>
          </w:tcPr>
          <w:p w14:paraId="339080E8" w14:textId="77777777" w:rsidR="003F5D7C" w:rsidRPr="000455AC" w:rsidRDefault="003F5D7C" w:rsidP="00BD066A">
            <w:pPr>
              <w:rPr>
                <w:lang w:val="da-DK"/>
              </w:rPr>
            </w:pPr>
            <w:r w:rsidRPr="000455AC">
              <w:rPr>
                <w:lang w:val="da-DK"/>
              </w:rPr>
              <w:t>FLSmidth &amp; Co.</w:t>
            </w:r>
          </w:p>
        </w:tc>
        <w:tc>
          <w:tcPr>
            <w:tcW w:w="2835" w:type="dxa"/>
            <w:tcBorders>
              <w:top w:val="single" w:sz="4" w:space="0" w:color="000000"/>
              <w:left w:val="nil"/>
              <w:bottom w:val="single" w:sz="8" w:space="0" w:color="FFFFFF"/>
              <w:right w:val="nil"/>
            </w:tcBorders>
            <w:shd w:val="clear" w:color="auto" w:fill="EEFDFB"/>
            <w:tcMar>
              <w:top w:w="15" w:type="dxa"/>
              <w:left w:w="70" w:type="dxa"/>
              <w:bottom w:w="0" w:type="dxa"/>
              <w:right w:w="70" w:type="dxa"/>
            </w:tcMar>
            <w:vAlign w:val="bottom"/>
            <w:hideMark/>
          </w:tcPr>
          <w:p w14:paraId="49AE08C4" w14:textId="77777777" w:rsidR="003F5D7C" w:rsidRPr="000455AC" w:rsidRDefault="003F5D7C" w:rsidP="00BD066A">
            <w:pPr>
              <w:rPr>
                <w:lang w:val="da-DK"/>
              </w:rPr>
            </w:pPr>
            <w:r w:rsidRPr="000455AC">
              <w:rPr>
                <w:lang w:val="da-DK"/>
              </w:rPr>
              <w:t>Zealand Pharma</w:t>
            </w:r>
          </w:p>
        </w:tc>
      </w:tr>
      <w:tr w:rsidR="003F5D7C" w:rsidRPr="000455AC" w14:paraId="2A4E3D41" w14:textId="77777777" w:rsidTr="00BD066A">
        <w:trPr>
          <w:trHeight w:val="255"/>
        </w:trPr>
        <w:tc>
          <w:tcPr>
            <w:tcW w:w="201" w:type="dxa"/>
            <w:tcBorders>
              <w:top w:val="single" w:sz="4"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B843361"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9B3C06A" w14:textId="77777777" w:rsidR="003F5D7C" w:rsidRPr="000455AC" w:rsidRDefault="003F5D7C" w:rsidP="00BD066A">
            <w:pPr>
              <w:rPr>
                <w:lang w:val="da-DK"/>
              </w:rPr>
            </w:pPr>
            <w:r w:rsidRPr="000455AC">
              <w:rPr>
                <w:lang w:val="da-DK"/>
              </w:rPr>
              <w:t>A.P. Moller - Maersk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FE99AD8" w14:textId="77777777" w:rsidR="003F5D7C" w:rsidRPr="000455AC" w:rsidRDefault="003F5D7C" w:rsidP="00BD066A">
            <w:pPr>
              <w:rPr>
                <w:lang w:val="da-DK"/>
              </w:rPr>
            </w:pPr>
            <w:r w:rsidRPr="000455AC">
              <w:rPr>
                <w:lang w:val="da-DK"/>
              </w:rPr>
              <w:t>Netcompany Group A/S</w:t>
            </w: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2FE61F5F" w14:textId="77777777" w:rsidR="003F5D7C" w:rsidRPr="000455AC" w:rsidRDefault="003F5D7C" w:rsidP="00BD066A">
            <w:pPr>
              <w:rPr>
                <w:lang w:val="da-DK"/>
              </w:rPr>
            </w:pPr>
            <w:r w:rsidRPr="000455AC">
              <w:rPr>
                <w:lang w:val="da-DK"/>
              </w:rPr>
              <w:t>NKT A/S</w:t>
            </w:r>
          </w:p>
        </w:tc>
      </w:tr>
      <w:tr w:rsidR="003F5D7C" w:rsidRPr="000455AC" w14:paraId="18E2C36A"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690B3DE"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851098A" w14:textId="77777777" w:rsidR="003F5D7C" w:rsidRPr="000455AC" w:rsidRDefault="003F5D7C" w:rsidP="00BD066A">
            <w:pPr>
              <w:rPr>
                <w:lang w:val="da-DK"/>
              </w:rPr>
            </w:pPr>
            <w:r w:rsidRPr="000455AC">
              <w:rPr>
                <w:lang w:val="da-DK"/>
              </w:rPr>
              <w:t>Ambu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7E7CE52"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42E2FBCD" w14:textId="77777777" w:rsidR="003F5D7C" w:rsidRPr="000455AC" w:rsidRDefault="003F5D7C" w:rsidP="00BD066A">
            <w:pPr>
              <w:rPr>
                <w:lang w:val="da-DK"/>
              </w:rPr>
            </w:pPr>
          </w:p>
        </w:tc>
      </w:tr>
      <w:tr w:rsidR="003F5D7C" w:rsidRPr="000455AC" w14:paraId="0CCEFD87"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E6F681D"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F9F9A1" w14:textId="77777777" w:rsidR="003F5D7C" w:rsidRPr="000455AC" w:rsidRDefault="003F5D7C" w:rsidP="00BD066A">
            <w:pPr>
              <w:rPr>
                <w:lang w:val="da-DK"/>
              </w:rPr>
            </w:pPr>
            <w:r w:rsidRPr="000455AC">
              <w:rPr>
                <w:lang w:val="da-DK"/>
              </w:rPr>
              <w:t>Bavarian Nordic</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AEA47D6"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38D2DF58" w14:textId="77777777" w:rsidR="003F5D7C" w:rsidRPr="000455AC" w:rsidRDefault="003F5D7C" w:rsidP="00BD066A">
            <w:pPr>
              <w:rPr>
                <w:lang w:val="da-DK"/>
              </w:rPr>
            </w:pPr>
          </w:p>
        </w:tc>
      </w:tr>
      <w:tr w:rsidR="003F5D7C" w:rsidRPr="000455AC" w14:paraId="46F0CD90"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BE0CD40"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A2F0CB4" w14:textId="77777777" w:rsidR="003F5D7C" w:rsidRPr="000455AC" w:rsidRDefault="003F5D7C" w:rsidP="00BD066A">
            <w:pPr>
              <w:rPr>
                <w:lang w:val="da-DK"/>
              </w:rPr>
            </w:pPr>
            <w:r w:rsidRPr="000455AC">
              <w:rPr>
                <w:lang w:val="da-DK"/>
              </w:rPr>
              <w:t>Carlsberg A/S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7A074A5A"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04BC4D5E" w14:textId="77777777" w:rsidR="003F5D7C" w:rsidRPr="000455AC" w:rsidRDefault="003F5D7C" w:rsidP="00BD066A">
            <w:pPr>
              <w:rPr>
                <w:lang w:val="da-DK"/>
              </w:rPr>
            </w:pPr>
          </w:p>
        </w:tc>
      </w:tr>
      <w:tr w:rsidR="003F5D7C" w:rsidRPr="000455AC" w14:paraId="0C3FE27A"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F0AF2EB"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215E08A" w14:textId="77777777" w:rsidR="003F5D7C" w:rsidRPr="000455AC" w:rsidRDefault="003F5D7C" w:rsidP="00BD066A">
            <w:pPr>
              <w:rPr>
                <w:lang w:val="da-DK"/>
              </w:rPr>
            </w:pPr>
            <w:r w:rsidRPr="000455AC">
              <w:rPr>
                <w:lang w:val="da-DK"/>
              </w:rPr>
              <w:t>Chr. Hansen Holding</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C53C655"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54EC6733" w14:textId="77777777" w:rsidR="003F5D7C" w:rsidRPr="000455AC" w:rsidRDefault="003F5D7C" w:rsidP="00BD066A">
            <w:pPr>
              <w:rPr>
                <w:lang w:val="da-DK"/>
              </w:rPr>
            </w:pPr>
          </w:p>
        </w:tc>
      </w:tr>
      <w:tr w:rsidR="003F5D7C" w:rsidRPr="000455AC" w14:paraId="1B0BFDA3"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9E018B9"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5211FBC" w14:textId="77777777" w:rsidR="003F5D7C" w:rsidRPr="000455AC" w:rsidRDefault="003F5D7C" w:rsidP="00BD066A">
            <w:pPr>
              <w:rPr>
                <w:lang w:val="da-DK"/>
              </w:rPr>
            </w:pPr>
            <w:r w:rsidRPr="000455AC">
              <w:rPr>
                <w:lang w:val="da-DK"/>
              </w:rPr>
              <w:t>Coloplast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2CB67C9"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2059407F" w14:textId="77777777" w:rsidR="003F5D7C" w:rsidRPr="000455AC" w:rsidRDefault="003F5D7C" w:rsidP="00BD066A">
            <w:pPr>
              <w:rPr>
                <w:lang w:val="da-DK"/>
              </w:rPr>
            </w:pPr>
          </w:p>
        </w:tc>
      </w:tr>
      <w:tr w:rsidR="003F5D7C" w:rsidRPr="000455AC" w14:paraId="38BA3FD4"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60E2437"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7902F31" w14:textId="77777777" w:rsidR="003F5D7C" w:rsidRPr="000455AC" w:rsidRDefault="003F5D7C" w:rsidP="00BD066A">
            <w:pPr>
              <w:rPr>
                <w:lang w:val="da-DK"/>
              </w:rPr>
            </w:pPr>
            <w:r w:rsidRPr="000455AC">
              <w:rPr>
                <w:lang w:val="da-DK"/>
              </w:rPr>
              <w:t>Danske Bank</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516F4324"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346F9BD6" w14:textId="77777777" w:rsidR="003F5D7C" w:rsidRPr="000455AC" w:rsidRDefault="003F5D7C" w:rsidP="00BD066A">
            <w:pPr>
              <w:rPr>
                <w:lang w:val="da-DK"/>
              </w:rPr>
            </w:pPr>
          </w:p>
        </w:tc>
      </w:tr>
      <w:tr w:rsidR="003F5D7C" w:rsidRPr="000455AC" w14:paraId="1705E866"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C2F6EBF"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2B88136" w14:textId="77777777" w:rsidR="003F5D7C" w:rsidRPr="000455AC" w:rsidRDefault="003F5D7C" w:rsidP="00BD066A">
            <w:pPr>
              <w:rPr>
                <w:lang w:val="da-DK"/>
              </w:rPr>
            </w:pPr>
            <w:r w:rsidRPr="000455AC">
              <w:rPr>
                <w:lang w:val="da-DK"/>
              </w:rPr>
              <w:t>Demant A/S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B41B6B5"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430AF92C" w14:textId="77777777" w:rsidR="003F5D7C" w:rsidRPr="000455AC" w:rsidRDefault="003F5D7C" w:rsidP="00BD066A">
            <w:pPr>
              <w:rPr>
                <w:lang w:val="da-DK"/>
              </w:rPr>
            </w:pPr>
          </w:p>
        </w:tc>
      </w:tr>
      <w:tr w:rsidR="003F5D7C" w:rsidRPr="000455AC" w14:paraId="6A231761"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8B15B9B"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27143F3F" w14:textId="77777777" w:rsidR="003F5D7C" w:rsidRPr="000455AC" w:rsidRDefault="003F5D7C" w:rsidP="00BD066A">
            <w:pPr>
              <w:rPr>
                <w:lang w:val="da-DK"/>
              </w:rPr>
            </w:pPr>
            <w:r w:rsidRPr="000455AC">
              <w:rPr>
                <w:lang w:val="da-DK"/>
              </w:rPr>
              <w:t>DSV A/S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4ECB29FB"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631650B5" w14:textId="77777777" w:rsidR="003F5D7C" w:rsidRPr="000455AC" w:rsidRDefault="003F5D7C" w:rsidP="00BD066A">
            <w:pPr>
              <w:rPr>
                <w:lang w:val="da-DK"/>
              </w:rPr>
            </w:pPr>
          </w:p>
        </w:tc>
      </w:tr>
      <w:tr w:rsidR="003F5D7C" w:rsidRPr="000455AC" w14:paraId="01A78D83"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5F44C618"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C706919" w14:textId="77777777" w:rsidR="003F5D7C" w:rsidRPr="000455AC" w:rsidRDefault="003F5D7C" w:rsidP="00BD066A">
            <w:pPr>
              <w:rPr>
                <w:lang w:val="da-DK"/>
              </w:rPr>
            </w:pPr>
            <w:r w:rsidRPr="000455AC">
              <w:rPr>
                <w:lang w:val="da-DK"/>
              </w:rPr>
              <w:t>Genmab A/S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F7CD0E1"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626617AF" w14:textId="77777777" w:rsidR="003F5D7C" w:rsidRPr="000455AC" w:rsidRDefault="003F5D7C" w:rsidP="00BD066A">
            <w:pPr>
              <w:rPr>
                <w:lang w:val="da-DK"/>
              </w:rPr>
            </w:pPr>
          </w:p>
        </w:tc>
      </w:tr>
      <w:tr w:rsidR="003F5D7C" w:rsidRPr="000455AC" w14:paraId="4D824968"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3EC9483"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60A28B9" w14:textId="77777777" w:rsidR="003F5D7C" w:rsidRPr="000455AC" w:rsidRDefault="003F5D7C" w:rsidP="00BD066A">
            <w:pPr>
              <w:rPr>
                <w:lang w:val="da-DK"/>
              </w:rPr>
            </w:pPr>
            <w:r w:rsidRPr="000455AC">
              <w:rPr>
                <w:lang w:val="da-DK"/>
              </w:rPr>
              <w:t>GN Store Nord</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7EC94351"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0A2877A2" w14:textId="77777777" w:rsidR="003F5D7C" w:rsidRPr="000455AC" w:rsidRDefault="003F5D7C" w:rsidP="00BD066A">
            <w:pPr>
              <w:rPr>
                <w:lang w:val="da-DK"/>
              </w:rPr>
            </w:pPr>
          </w:p>
        </w:tc>
      </w:tr>
      <w:tr w:rsidR="003F5D7C" w:rsidRPr="000455AC" w14:paraId="1C370EC6"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1A470688"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1D24A87" w14:textId="77777777" w:rsidR="003F5D7C" w:rsidRPr="000455AC" w:rsidRDefault="003F5D7C" w:rsidP="00BD066A">
            <w:pPr>
              <w:rPr>
                <w:lang w:val="da-DK"/>
              </w:rPr>
            </w:pPr>
            <w:r w:rsidRPr="000455AC">
              <w:rPr>
                <w:lang w:val="da-DK"/>
              </w:rPr>
              <w:t>ISS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B81DC94"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6FF81B2A" w14:textId="77777777" w:rsidR="003F5D7C" w:rsidRPr="000455AC" w:rsidRDefault="003F5D7C" w:rsidP="00BD066A">
            <w:pPr>
              <w:rPr>
                <w:lang w:val="da-DK"/>
              </w:rPr>
            </w:pPr>
          </w:p>
        </w:tc>
      </w:tr>
      <w:tr w:rsidR="003F5D7C" w:rsidRPr="000455AC" w14:paraId="4E522E36"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73E86CB"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4C5CA74" w14:textId="77777777" w:rsidR="003F5D7C" w:rsidRPr="000455AC" w:rsidRDefault="003F5D7C" w:rsidP="00BD066A">
            <w:pPr>
              <w:rPr>
                <w:lang w:val="da-DK"/>
              </w:rPr>
            </w:pPr>
            <w:r w:rsidRPr="000455AC">
              <w:rPr>
                <w:lang w:val="da-DK"/>
              </w:rPr>
              <w:t>Jyske Bank A/S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32F47A2A"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67FF75AC" w14:textId="77777777" w:rsidR="003F5D7C" w:rsidRPr="000455AC" w:rsidRDefault="003F5D7C" w:rsidP="00BD066A">
            <w:pPr>
              <w:rPr>
                <w:lang w:val="da-DK"/>
              </w:rPr>
            </w:pPr>
          </w:p>
        </w:tc>
      </w:tr>
      <w:tr w:rsidR="003F5D7C" w:rsidRPr="000455AC" w14:paraId="0DFCB6C1"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1C3A895"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A27233D" w14:textId="77777777" w:rsidR="003F5D7C" w:rsidRPr="000455AC" w:rsidRDefault="003F5D7C" w:rsidP="00BD066A">
            <w:pPr>
              <w:rPr>
                <w:lang w:val="da-DK"/>
              </w:rPr>
            </w:pPr>
            <w:r w:rsidRPr="000455AC">
              <w:rPr>
                <w:lang w:val="da-DK"/>
              </w:rPr>
              <w:t>Nordea Bank Abp</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A7F9D1A"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2CBA9BEE" w14:textId="77777777" w:rsidR="003F5D7C" w:rsidRPr="000455AC" w:rsidRDefault="003F5D7C" w:rsidP="00BD066A">
            <w:pPr>
              <w:rPr>
                <w:lang w:val="da-DK"/>
              </w:rPr>
            </w:pPr>
          </w:p>
        </w:tc>
      </w:tr>
      <w:tr w:rsidR="003F5D7C" w:rsidRPr="000455AC" w14:paraId="66BCA303"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2FBD3EB"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1FDB4FE" w14:textId="77777777" w:rsidR="003F5D7C" w:rsidRPr="000455AC" w:rsidRDefault="003F5D7C" w:rsidP="00BD066A">
            <w:pPr>
              <w:rPr>
                <w:lang w:val="da-DK"/>
              </w:rPr>
            </w:pPr>
            <w:r w:rsidRPr="000455AC">
              <w:rPr>
                <w:lang w:val="da-DK"/>
              </w:rPr>
              <w:t>Novo Nordisk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7D1526D9"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2F8043FA" w14:textId="77777777" w:rsidR="003F5D7C" w:rsidRPr="000455AC" w:rsidRDefault="003F5D7C" w:rsidP="00BD066A">
            <w:pPr>
              <w:rPr>
                <w:lang w:val="da-DK"/>
              </w:rPr>
            </w:pPr>
          </w:p>
        </w:tc>
      </w:tr>
      <w:tr w:rsidR="003F5D7C" w:rsidRPr="000455AC" w14:paraId="48865E06"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DC69815"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6C55057" w14:textId="77777777" w:rsidR="003F5D7C" w:rsidRPr="000455AC" w:rsidRDefault="003F5D7C" w:rsidP="00BD066A">
            <w:pPr>
              <w:rPr>
                <w:lang w:val="da-DK"/>
              </w:rPr>
            </w:pPr>
            <w:r w:rsidRPr="000455AC">
              <w:rPr>
                <w:lang w:val="da-DK"/>
              </w:rPr>
              <w:t>Novozymes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0AA81D68"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6E7CE5BC" w14:textId="77777777" w:rsidR="003F5D7C" w:rsidRPr="000455AC" w:rsidRDefault="003F5D7C" w:rsidP="00BD066A">
            <w:pPr>
              <w:rPr>
                <w:lang w:val="da-DK"/>
              </w:rPr>
            </w:pPr>
          </w:p>
        </w:tc>
      </w:tr>
      <w:tr w:rsidR="003F5D7C" w:rsidRPr="000455AC" w14:paraId="43780796"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5D1E86A"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40CE1B5A" w14:textId="77777777" w:rsidR="003F5D7C" w:rsidRPr="000455AC" w:rsidRDefault="003F5D7C" w:rsidP="00BD066A">
            <w:pPr>
              <w:rPr>
                <w:lang w:val="da-DK"/>
              </w:rPr>
            </w:pPr>
            <w:r w:rsidRPr="000455AC">
              <w:rPr>
                <w:lang w:val="da-DK"/>
              </w:rPr>
              <w:t>Pandora</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3DFC144D"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0AA3A831" w14:textId="77777777" w:rsidR="003F5D7C" w:rsidRPr="000455AC" w:rsidRDefault="003F5D7C" w:rsidP="00BD066A">
            <w:pPr>
              <w:rPr>
                <w:lang w:val="da-DK"/>
              </w:rPr>
            </w:pPr>
          </w:p>
        </w:tc>
      </w:tr>
      <w:tr w:rsidR="003F5D7C" w:rsidRPr="000455AC" w14:paraId="72E59638"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EC7F0A3"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76793AE" w14:textId="77777777" w:rsidR="003F5D7C" w:rsidRPr="000455AC" w:rsidRDefault="003F5D7C" w:rsidP="00BD066A">
            <w:pPr>
              <w:rPr>
                <w:lang w:val="en-US"/>
              </w:rPr>
            </w:pPr>
            <w:r w:rsidRPr="000455AC">
              <w:rPr>
                <w:lang w:val="en-US"/>
              </w:rPr>
              <w:t>Rockwool A/S ser. B</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2B99346F" w14:textId="77777777" w:rsidR="003F5D7C" w:rsidRPr="000455AC" w:rsidRDefault="003F5D7C" w:rsidP="00BD066A">
            <w:pPr>
              <w:rPr>
                <w:lang w:val="en-US"/>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2F7D3EF9" w14:textId="77777777" w:rsidR="003F5D7C" w:rsidRPr="000455AC" w:rsidRDefault="003F5D7C" w:rsidP="00BD066A">
            <w:pPr>
              <w:rPr>
                <w:lang w:val="en-US"/>
              </w:rPr>
            </w:pPr>
          </w:p>
        </w:tc>
      </w:tr>
      <w:tr w:rsidR="003F5D7C" w:rsidRPr="000455AC" w14:paraId="12FC1239"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CC0D249" w14:textId="77777777" w:rsidR="003F5D7C" w:rsidRPr="000455AC" w:rsidRDefault="003F5D7C" w:rsidP="00BD066A">
            <w:pPr>
              <w:rPr>
                <w:lang w:val="en-US"/>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3C5022BF" w14:textId="77777777" w:rsidR="003F5D7C" w:rsidRPr="000455AC" w:rsidRDefault="003F5D7C" w:rsidP="00BD066A">
            <w:pPr>
              <w:rPr>
                <w:lang w:val="da-DK"/>
              </w:rPr>
            </w:pPr>
            <w:r w:rsidRPr="000455AC">
              <w:rPr>
                <w:lang w:val="da-DK"/>
              </w:rPr>
              <w:t>Royal UNIBREW</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6951C656"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0132BFFE" w14:textId="77777777" w:rsidR="003F5D7C" w:rsidRPr="000455AC" w:rsidRDefault="003F5D7C" w:rsidP="00BD066A">
            <w:pPr>
              <w:rPr>
                <w:lang w:val="da-DK"/>
              </w:rPr>
            </w:pPr>
          </w:p>
        </w:tc>
      </w:tr>
      <w:tr w:rsidR="003F5D7C" w:rsidRPr="000455AC" w14:paraId="15F8EE5A"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6B53C8DB"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84D6F16" w14:textId="77777777" w:rsidR="003F5D7C" w:rsidRPr="000455AC" w:rsidRDefault="003F5D7C" w:rsidP="00BD066A">
            <w:pPr>
              <w:rPr>
                <w:lang w:val="da-DK"/>
              </w:rPr>
            </w:pPr>
            <w:r w:rsidRPr="000455AC">
              <w:rPr>
                <w:lang w:val="da-DK"/>
              </w:rPr>
              <w:t>Tryg</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1DAB620E"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52DD7C5D" w14:textId="77777777" w:rsidR="003F5D7C" w:rsidRPr="000455AC" w:rsidRDefault="003F5D7C" w:rsidP="00BD066A">
            <w:pPr>
              <w:rPr>
                <w:lang w:val="da-DK"/>
              </w:rPr>
            </w:pPr>
          </w:p>
        </w:tc>
      </w:tr>
      <w:tr w:rsidR="003F5D7C" w:rsidRPr="000455AC" w14:paraId="18333913" w14:textId="77777777" w:rsidTr="00BD066A">
        <w:trPr>
          <w:trHeight w:val="255"/>
        </w:trPr>
        <w:tc>
          <w:tcPr>
            <w:tcW w:w="201"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09DCC21F" w14:textId="77777777" w:rsidR="003F5D7C" w:rsidRPr="000455AC" w:rsidRDefault="003F5D7C" w:rsidP="00BD066A">
            <w:pPr>
              <w:rPr>
                <w:lang w:val="da-DK"/>
              </w:rPr>
            </w:pPr>
          </w:p>
        </w:tc>
        <w:tc>
          <w:tcPr>
            <w:tcW w:w="2553" w:type="dxa"/>
            <w:tcBorders>
              <w:top w:val="single" w:sz="8" w:space="0" w:color="FFFFFF"/>
              <w:left w:val="nil"/>
              <w:bottom w:val="single" w:sz="8" w:space="0" w:color="FFFFFF"/>
              <w:right w:val="nil"/>
            </w:tcBorders>
            <w:shd w:val="clear" w:color="auto" w:fill="F2F2F2"/>
            <w:tcMar>
              <w:top w:w="15" w:type="dxa"/>
              <w:left w:w="70" w:type="dxa"/>
              <w:bottom w:w="0" w:type="dxa"/>
              <w:right w:w="70" w:type="dxa"/>
            </w:tcMar>
            <w:vAlign w:val="bottom"/>
            <w:hideMark/>
          </w:tcPr>
          <w:p w14:paraId="750FE76A" w14:textId="77777777" w:rsidR="003F5D7C" w:rsidRPr="000455AC" w:rsidRDefault="003F5D7C" w:rsidP="00BD066A">
            <w:pPr>
              <w:rPr>
                <w:lang w:val="da-DK"/>
              </w:rPr>
            </w:pPr>
            <w:r w:rsidRPr="000455AC">
              <w:rPr>
                <w:lang w:val="da-DK"/>
              </w:rPr>
              <w:t>Vestas Wind Systems</w:t>
            </w:r>
          </w:p>
        </w:tc>
        <w:tc>
          <w:tcPr>
            <w:tcW w:w="3058" w:type="dxa"/>
            <w:tcBorders>
              <w:top w:val="single" w:sz="8" w:space="0" w:color="FFFFFF"/>
              <w:left w:val="nil"/>
              <w:bottom w:val="single" w:sz="8" w:space="0" w:color="FFFFFF"/>
              <w:right w:val="nil"/>
            </w:tcBorders>
            <w:shd w:val="clear" w:color="auto" w:fill="FFEEF2"/>
            <w:tcMar>
              <w:top w:w="15" w:type="dxa"/>
              <w:left w:w="70" w:type="dxa"/>
              <w:bottom w:w="0" w:type="dxa"/>
              <w:right w:w="70" w:type="dxa"/>
            </w:tcMar>
            <w:vAlign w:val="bottom"/>
            <w:hideMark/>
          </w:tcPr>
          <w:p w14:paraId="7E2DCAA2" w14:textId="77777777" w:rsidR="003F5D7C" w:rsidRPr="000455AC" w:rsidRDefault="003F5D7C" w:rsidP="00BD066A">
            <w:pPr>
              <w:rPr>
                <w:lang w:val="da-DK"/>
              </w:rPr>
            </w:pPr>
          </w:p>
        </w:tc>
        <w:tc>
          <w:tcPr>
            <w:tcW w:w="2835" w:type="dxa"/>
            <w:tcBorders>
              <w:top w:val="single" w:sz="8" w:space="0" w:color="FFFFFF"/>
              <w:left w:val="nil"/>
              <w:bottom w:val="single" w:sz="8" w:space="0" w:color="FFFFFF"/>
              <w:right w:val="nil"/>
            </w:tcBorders>
            <w:shd w:val="clear" w:color="auto" w:fill="EEFDFB"/>
            <w:tcMar>
              <w:top w:w="15" w:type="dxa"/>
              <w:left w:w="70" w:type="dxa"/>
              <w:bottom w:w="0" w:type="dxa"/>
              <w:right w:w="70" w:type="dxa"/>
            </w:tcMar>
            <w:vAlign w:val="bottom"/>
            <w:hideMark/>
          </w:tcPr>
          <w:p w14:paraId="3DC3B63E" w14:textId="77777777" w:rsidR="003F5D7C" w:rsidRPr="000455AC" w:rsidRDefault="003F5D7C" w:rsidP="00BD066A">
            <w:pPr>
              <w:rPr>
                <w:lang w:val="da-DK"/>
              </w:rPr>
            </w:pPr>
          </w:p>
        </w:tc>
      </w:tr>
      <w:tr w:rsidR="003F5D7C" w:rsidRPr="000455AC" w14:paraId="126177ED" w14:textId="77777777" w:rsidTr="00BD066A">
        <w:trPr>
          <w:trHeight w:val="255"/>
        </w:trPr>
        <w:tc>
          <w:tcPr>
            <w:tcW w:w="201"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00214B7F" w14:textId="77777777" w:rsidR="003F5D7C" w:rsidRPr="000455AC" w:rsidRDefault="003F5D7C" w:rsidP="00BD066A">
            <w:pPr>
              <w:rPr>
                <w:lang w:val="da-DK"/>
              </w:rPr>
            </w:pPr>
          </w:p>
        </w:tc>
        <w:tc>
          <w:tcPr>
            <w:tcW w:w="2553" w:type="dxa"/>
            <w:tcBorders>
              <w:top w:val="single" w:sz="8" w:space="0" w:color="FFFFFF"/>
              <w:left w:val="nil"/>
              <w:bottom w:val="single" w:sz="4" w:space="0" w:color="000000"/>
              <w:right w:val="nil"/>
            </w:tcBorders>
            <w:shd w:val="clear" w:color="auto" w:fill="F2F2F2"/>
            <w:tcMar>
              <w:top w:w="15" w:type="dxa"/>
              <w:left w:w="70" w:type="dxa"/>
              <w:bottom w:w="0" w:type="dxa"/>
              <w:right w:w="70" w:type="dxa"/>
            </w:tcMar>
            <w:vAlign w:val="bottom"/>
            <w:hideMark/>
          </w:tcPr>
          <w:p w14:paraId="185A0674" w14:textId="77777777" w:rsidR="003F5D7C" w:rsidRPr="000455AC" w:rsidRDefault="003F5D7C" w:rsidP="00BD066A">
            <w:pPr>
              <w:rPr>
                <w:lang w:val="da-DK"/>
              </w:rPr>
            </w:pPr>
            <w:r w:rsidRPr="000455AC">
              <w:rPr>
                <w:lang w:val="da-DK"/>
              </w:rPr>
              <w:t>Ørsted A/S</w:t>
            </w:r>
          </w:p>
        </w:tc>
        <w:tc>
          <w:tcPr>
            <w:tcW w:w="3058" w:type="dxa"/>
            <w:tcBorders>
              <w:top w:val="single" w:sz="8" w:space="0" w:color="FFFFFF"/>
              <w:left w:val="nil"/>
              <w:bottom w:val="single" w:sz="4" w:space="0" w:color="000000"/>
              <w:right w:val="nil"/>
            </w:tcBorders>
            <w:shd w:val="clear" w:color="auto" w:fill="FFEEF2"/>
            <w:tcMar>
              <w:top w:w="15" w:type="dxa"/>
              <w:left w:w="70" w:type="dxa"/>
              <w:bottom w:w="0" w:type="dxa"/>
              <w:right w:w="70" w:type="dxa"/>
            </w:tcMar>
            <w:vAlign w:val="bottom"/>
            <w:hideMark/>
          </w:tcPr>
          <w:p w14:paraId="50B65646" w14:textId="77777777" w:rsidR="003F5D7C" w:rsidRPr="000455AC" w:rsidRDefault="003F5D7C" w:rsidP="00BD066A">
            <w:pPr>
              <w:rPr>
                <w:lang w:val="da-DK"/>
              </w:rPr>
            </w:pPr>
          </w:p>
        </w:tc>
        <w:tc>
          <w:tcPr>
            <w:tcW w:w="2835" w:type="dxa"/>
            <w:tcBorders>
              <w:top w:val="single" w:sz="8" w:space="0" w:color="FFFFFF"/>
              <w:left w:val="nil"/>
              <w:bottom w:val="single" w:sz="4" w:space="0" w:color="000000"/>
              <w:right w:val="nil"/>
            </w:tcBorders>
            <w:shd w:val="clear" w:color="auto" w:fill="EEFDFB"/>
            <w:tcMar>
              <w:top w:w="15" w:type="dxa"/>
              <w:left w:w="70" w:type="dxa"/>
              <w:bottom w:w="0" w:type="dxa"/>
              <w:right w:w="70" w:type="dxa"/>
            </w:tcMar>
            <w:vAlign w:val="bottom"/>
            <w:hideMark/>
          </w:tcPr>
          <w:p w14:paraId="7E18A43B" w14:textId="77777777" w:rsidR="003F5D7C" w:rsidRPr="000455AC" w:rsidRDefault="003F5D7C" w:rsidP="00BD066A">
            <w:pPr>
              <w:rPr>
                <w:lang w:val="da-DK"/>
              </w:rPr>
            </w:pPr>
          </w:p>
        </w:tc>
      </w:tr>
    </w:tbl>
    <w:p w14:paraId="6F61E36E" w14:textId="77777777" w:rsidR="00A577E6" w:rsidRDefault="00A577E6">
      <w:pPr>
        <w:rPr>
          <w:lang w:val="da-DK"/>
        </w:rPr>
      </w:pPr>
    </w:p>
    <w:p w14:paraId="69223555" w14:textId="6D98B85D" w:rsidR="00A577E6" w:rsidRDefault="00A577E6">
      <w:pPr>
        <w:rPr>
          <w:lang w:val="da-DK"/>
        </w:rPr>
      </w:pPr>
      <w:r>
        <w:rPr>
          <w:lang w:val="da-DK"/>
        </w:rPr>
        <w:t xml:space="preserve">Figur </w:t>
      </w:r>
      <w:r w:rsidR="000D54DB">
        <w:rPr>
          <w:lang w:val="da-DK"/>
        </w:rPr>
        <w:t>4</w:t>
      </w:r>
      <w:r>
        <w:rPr>
          <w:lang w:val="da-DK"/>
        </w:rPr>
        <w:t xml:space="preserve">: Eventstudie for selskaber som er kommet </w:t>
      </w:r>
      <w:r w:rsidR="00CE452A">
        <w:rPr>
          <w:lang w:val="da-DK"/>
        </w:rPr>
        <w:t>ind/ud</w:t>
      </w:r>
      <w:r>
        <w:rPr>
          <w:lang w:val="da-DK"/>
        </w:rPr>
        <w:t xml:space="preserve"> </w:t>
      </w:r>
      <w:r w:rsidR="00CE452A">
        <w:rPr>
          <w:lang w:val="da-DK"/>
        </w:rPr>
        <w:t>af</w:t>
      </w:r>
      <w:r>
        <w:rPr>
          <w:lang w:val="da-DK"/>
        </w:rPr>
        <w:t xml:space="preserve"> OMX C25 indekset.</w:t>
      </w:r>
    </w:p>
    <w:p w14:paraId="604FDF7F" w14:textId="2E234498" w:rsidR="00A577E6" w:rsidRDefault="00A577E6">
      <w:pPr>
        <w:rPr>
          <w:lang w:val="da-DK"/>
        </w:rPr>
      </w:pPr>
      <w:r>
        <w:rPr>
          <w:lang w:val="da-DK"/>
        </w:rPr>
        <w:t xml:space="preserve">Kilde: </w:t>
      </w:r>
      <w:r w:rsidRPr="00A577E6">
        <w:rPr>
          <w:lang w:val="da-DK"/>
        </w:rPr>
        <w:t>Nordnet</w:t>
      </w:r>
      <w:r w:rsidR="00CE452A">
        <w:rPr>
          <w:lang w:val="da-DK"/>
        </w:rPr>
        <w:t>, Nasdaq OMX, Nordic, Yahoo finance, Marketscreener.com</w:t>
      </w:r>
    </w:p>
    <w:p w14:paraId="1366A468" w14:textId="2FC0C622" w:rsidR="00FE4EF9" w:rsidRDefault="00CE452A">
      <w:pPr>
        <w:rPr>
          <w:lang w:val="da-DK"/>
        </w:rPr>
      </w:pPr>
      <w:r>
        <w:rPr>
          <w:noProof/>
        </w:rPr>
        <w:drawing>
          <wp:inline distT="0" distB="0" distL="0" distR="0" wp14:anchorId="117DDEEC" wp14:editId="14A88C89">
            <wp:extent cx="5760720" cy="3691890"/>
            <wp:effectExtent l="0" t="0" r="0" b="3810"/>
            <wp:docPr id="743264547" name="Picture 1"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64547" name="Picture 1" descr="A graph with lines and numbers&#10;&#10;Description automatically generated"/>
                    <pic:cNvPicPr/>
                  </pic:nvPicPr>
                  <pic:blipFill>
                    <a:blip r:embed="rId6"/>
                    <a:stretch>
                      <a:fillRect/>
                    </a:stretch>
                  </pic:blipFill>
                  <pic:spPr>
                    <a:xfrm>
                      <a:off x="0" y="0"/>
                      <a:ext cx="5760720" cy="3691890"/>
                    </a:xfrm>
                    <a:prstGeom prst="rect">
                      <a:avLst/>
                    </a:prstGeom>
                  </pic:spPr>
                </pic:pic>
              </a:graphicData>
            </a:graphic>
          </wp:inline>
        </w:drawing>
      </w:r>
    </w:p>
    <w:p w14:paraId="4C42FCFB" w14:textId="549978DD" w:rsidR="00A577E6" w:rsidRDefault="00A577E6">
      <w:pPr>
        <w:rPr>
          <w:lang w:val="da-DK"/>
        </w:rPr>
      </w:pPr>
    </w:p>
    <w:p w14:paraId="13D93D31" w14:textId="190AA770" w:rsidR="00A577E6" w:rsidRDefault="00A577E6">
      <w:pPr>
        <w:rPr>
          <w:lang w:val="da-DK"/>
        </w:rPr>
      </w:pPr>
      <w:r>
        <w:rPr>
          <w:lang w:val="da-DK"/>
        </w:rPr>
        <w:t xml:space="preserve">Figur </w:t>
      </w:r>
      <w:r w:rsidR="000D54DB">
        <w:rPr>
          <w:lang w:val="da-DK"/>
        </w:rPr>
        <w:t>5</w:t>
      </w:r>
      <w:r>
        <w:rPr>
          <w:lang w:val="da-DK"/>
        </w:rPr>
        <w:t xml:space="preserve">: Eventstudie for kursudviklingen for selskaber som </w:t>
      </w:r>
      <w:r w:rsidR="00CE452A">
        <w:rPr>
          <w:lang w:val="da-DK"/>
        </w:rPr>
        <w:t xml:space="preserve">kommer ind i </w:t>
      </w:r>
      <w:r>
        <w:rPr>
          <w:lang w:val="da-DK"/>
        </w:rPr>
        <w:t>OMXC25 indekset</w:t>
      </w:r>
      <w:r w:rsidR="00CE452A">
        <w:rPr>
          <w:lang w:val="da-DK"/>
        </w:rPr>
        <w:t xml:space="preserve"> inklusive udfaldsrum</w:t>
      </w:r>
    </w:p>
    <w:p w14:paraId="64EAE857" w14:textId="77777777" w:rsidR="00CE452A" w:rsidRDefault="00A577E6" w:rsidP="00CE452A">
      <w:pPr>
        <w:rPr>
          <w:lang w:val="da-DK"/>
        </w:rPr>
      </w:pPr>
      <w:r>
        <w:rPr>
          <w:lang w:val="da-DK"/>
        </w:rPr>
        <w:t xml:space="preserve">Kilde: </w:t>
      </w:r>
      <w:r w:rsidR="00CE452A">
        <w:rPr>
          <w:lang w:val="da-DK"/>
        </w:rPr>
        <w:t xml:space="preserve">Kilde: </w:t>
      </w:r>
      <w:r w:rsidR="00CE452A" w:rsidRPr="00A577E6">
        <w:rPr>
          <w:lang w:val="da-DK"/>
        </w:rPr>
        <w:t>Nordnet</w:t>
      </w:r>
      <w:r w:rsidR="00CE452A">
        <w:rPr>
          <w:lang w:val="da-DK"/>
        </w:rPr>
        <w:t>, Nasdaq OMX, Nordic, Yahoo finance, Marketscreener.com</w:t>
      </w:r>
    </w:p>
    <w:p w14:paraId="74A86A20" w14:textId="2D3C1302" w:rsidR="00CE452A" w:rsidRDefault="00CE452A" w:rsidP="00CE452A">
      <w:pPr>
        <w:rPr>
          <w:lang w:val="da-DK"/>
        </w:rPr>
      </w:pPr>
      <w:r>
        <w:rPr>
          <w:noProof/>
        </w:rPr>
        <w:lastRenderedPageBreak/>
        <w:drawing>
          <wp:inline distT="0" distB="0" distL="0" distR="0" wp14:anchorId="74B21043" wp14:editId="19D01696">
            <wp:extent cx="5760720" cy="3673475"/>
            <wp:effectExtent l="0" t="0" r="0" b="3175"/>
            <wp:docPr id="528544835" name="Picture 1" descr="A graph of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44835" name="Picture 1" descr="A graph of blue lines&#10;&#10;Description automatically generated"/>
                    <pic:cNvPicPr/>
                  </pic:nvPicPr>
                  <pic:blipFill>
                    <a:blip r:embed="rId7"/>
                    <a:stretch>
                      <a:fillRect/>
                    </a:stretch>
                  </pic:blipFill>
                  <pic:spPr>
                    <a:xfrm>
                      <a:off x="0" y="0"/>
                      <a:ext cx="5760720" cy="3673475"/>
                    </a:xfrm>
                    <a:prstGeom prst="rect">
                      <a:avLst/>
                    </a:prstGeom>
                  </pic:spPr>
                </pic:pic>
              </a:graphicData>
            </a:graphic>
          </wp:inline>
        </w:drawing>
      </w:r>
    </w:p>
    <w:p w14:paraId="00F48C59" w14:textId="77777777" w:rsidR="00CE452A" w:rsidRDefault="00CE452A" w:rsidP="00341C1C">
      <w:pPr>
        <w:rPr>
          <w:lang w:val="da-DK"/>
        </w:rPr>
      </w:pPr>
    </w:p>
    <w:p w14:paraId="7138E6E9" w14:textId="17B70218" w:rsidR="00CE452A" w:rsidRDefault="00CE452A" w:rsidP="00CE452A">
      <w:pPr>
        <w:rPr>
          <w:lang w:val="da-DK"/>
        </w:rPr>
      </w:pPr>
      <w:r>
        <w:rPr>
          <w:lang w:val="da-DK"/>
        </w:rPr>
        <w:t>Figur 6: Eventstudie for kursudviklingen for selskaber som ryger ud af OMXC25 indekset inklusive udfaldsrum</w:t>
      </w:r>
    </w:p>
    <w:p w14:paraId="2EFF65AB" w14:textId="77777777" w:rsidR="00CE452A" w:rsidRDefault="00CE452A" w:rsidP="00CE452A">
      <w:pPr>
        <w:rPr>
          <w:lang w:val="da-DK"/>
        </w:rPr>
      </w:pPr>
      <w:r>
        <w:rPr>
          <w:lang w:val="da-DK"/>
        </w:rPr>
        <w:t xml:space="preserve">Kilde: Kilde: </w:t>
      </w:r>
      <w:r w:rsidRPr="00A577E6">
        <w:rPr>
          <w:lang w:val="da-DK"/>
        </w:rPr>
        <w:t>Nordnet</w:t>
      </w:r>
      <w:r>
        <w:rPr>
          <w:lang w:val="da-DK"/>
        </w:rPr>
        <w:t>, Nasdaq OMX, Nordic, Yahoo finance, Marketscreener.com</w:t>
      </w:r>
    </w:p>
    <w:p w14:paraId="0FF34C46" w14:textId="77777777" w:rsidR="00CE452A" w:rsidRDefault="00CE452A" w:rsidP="00341C1C">
      <w:pPr>
        <w:rPr>
          <w:lang w:val="da-DK"/>
        </w:rPr>
      </w:pPr>
    </w:p>
    <w:p w14:paraId="3C8595F6" w14:textId="0FED59FE" w:rsidR="00CE452A" w:rsidRDefault="00CE452A" w:rsidP="00341C1C">
      <w:pPr>
        <w:rPr>
          <w:lang w:val="da-DK"/>
        </w:rPr>
      </w:pPr>
      <w:r>
        <w:rPr>
          <w:noProof/>
        </w:rPr>
        <w:drawing>
          <wp:inline distT="0" distB="0" distL="0" distR="0" wp14:anchorId="1FA21621" wp14:editId="55E58C42">
            <wp:extent cx="5760720" cy="3678555"/>
            <wp:effectExtent l="0" t="0" r="0" b="0"/>
            <wp:docPr id="1955389267" name="Picture 1" descr="A graph with pin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9267" name="Picture 1" descr="A graph with pink lines&#10;&#10;Description automatically generated"/>
                    <pic:cNvPicPr/>
                  </pic:nvPicPr>
                  <pic:blipFill>
                    <a:blip r:embed="rId8"/>
                    <a:stretch>
                      <a:fillRect/>
                    </a:stretch>
                  </pic:blipFill>
                  <pic:spPr>
                    <a:xfrm>
                      <a:off x="0" y="0"/>
                      <a:ext cx="5760720" cy="3678555"/>
                    </a:xfrm>
                    <a:prstGeom prst="rect">
                      <a:avLst/>
                    </a:prstGeom>
                  </pic:spPr>
                </pic:pic>
              </a:graphicData>
            </a:graphic>
          </wp:inline>
        </w:drawing>
      </w:r>
    </w:p>
    <w:p w14:paraId="2E05C5D9" w14:textId="77777777" w:rsidR="00CE452A" w:rsidRDefault="00CE452A" w:rsidP="00341C1C">
      <w:pPr>
        <w:rPr>
          <w:lang w:val="da-DK"/>
        </w:rPr>
      </w:pPr>
    </w:p>
    <w:p w14:paraId="7BA0720B" w14:textId="2130D923" w:rsidR="00341C1C" w:rsidRDefault="00341C1C" w:rsidP="00341C1C">
      <w:pPr>
        <w:rPr>
          <w:lang w:val="da-DK"/>
        </w:rPr>
      </w:pPr>
      <w:r>
        <w:rPr>
          <w:lang w:val="da-DK"/>
        </w:rPr>
        <w:t xml:space="preserve">Figur </w:t>
      </w:r>
      <w:r w:rsidR="00EC2011">
        <w:rPr>
          <w:lang w:val="da-DK"/>
        </w:rPr>
        <w:t>7</w:t>
      </w:r>
      <w:r>
        <w:rPr>
          <w:lang w:val="da-DK"/>
        </w:rPr>
        <w:t>: Kursudvikling for Zealand Pharma, NKT, Netcompany og FLS vs OMX C25 i 2023</w:t>
      </w:r>
    </w:p>
    <w:p w14:paraId="55440555" w14:textId="77777777" w:rsidR="00341C1C" w:rsidRDefault="00341C1C" w:rsidP="00341C1C">
      <w:pPr>
        <w:rPr>
          <w:lang w:val="da-DK"/>
        </w:rPr>
      </w:pPr>
      <w:r>
        <w:rPr>
          <w:lang w:val="da-DK"/>
        </w:rPr>
        <w:t xml:space="preserve">Kilde: </w:t>
      </w:r>
      <w:r w:rsidRPr="00C069B9">
        <w:rPr>
          <w:lang w:val="da-DK"/>
        </w:rPr>
        <w:t>Nordnet</w:t>
      </w:r>
    </w:p>
    <w:p w14:paraId="4EA4803D" w14:textId="3EA59E52" w:rsidR="00341C1C" w:rsidRDefault="00341C1C" w:rsidP="00341C1C">
      <w:pPr>
        <w:rPr>
          <w:lang w:val="da-DK"/>
        </w:rPr>
      </w:pPr>
      <w:r>
        <w:rPr>
          <w:noProof/>
        </w:rPr>
        <w:drawing>
          <wp:inline distT="0" distB="0" distL="0" distR="0" wp14:anchorId="72B7946A" wp14:editId="792555AE">
            <wp:extent cx="5760720" cy="3894455"/>
            <wp:effectExtent l="0" t="0" r="0" b="0"/>
            <wp:docPr id="706204922"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922" name="Picture 1" descr="A graph of different colored lines&#10;&#10;Description automatically generated"/>
                    <pic:cNvPicPr/>
                  </pic:nvPicPr>
                  <pic:blipFill>
                    <a:blip r:embed="rId9"/>
                    <a:stretch>
                      <a:fillRect/>
                    </a:stretch>
                  </pic:blipFill>
                  <pic:spPr>
                    <a:xfrm>
                      <a:off x="0" y="0"/>
                      <a:ext cx="5760720" cy="3894455"/>
                    </a:xfrm>
                    <a:prstGeom prst="rect">
                      <a:avLst/>
                    </a:prstGeom>
                  </pic:spPr>
                </pic:pic>
              </a:graphicData>
            </a:graphic>
          </wp:inline>
        </w:drawing>
      </w:r>
    </w:p>
    <w:p w14:paraId="4EF91DF4" w14:textId="2D8D791A" w:rsidR="00341C1C" w:rsidRDefault="00341C1C">
      <w:pPr>
        <w:rPr>
          <w:lang w:val="da-DK"/>
        </w:rPr>
      </w:pPr>
    </w:p>
    <w:p w14:paraId="239577A3" w14:textId="79D80B6E" w:rsidR="00EC2011" w:rsidRDefault="00EC2011">
      <w:pPr>
        <w:rPr>
          <w:lang w:val="da-DK"/>
        </w:rPr>
      </w:pPr>
      <w:r>
        <w:rPr>
          <w:lang w:val="da-DK"/>
        </w:rPr>
        <w:t>Figur 8: Oversigt over gennemsnitlig omsætning per måned, inklusive omsætning i november 2023, yderste kolonne</w:t>
      </w:r>
    </w:p>
    <w:p w14:paraId="34C88DD1" w14:textId="2A22C0AA" w:rsidR="00EC2011" w:rsidRDefault="00EC2011">
      <w:pPr>
        <w:rPr>
          <w:lang w:val="da-DK"/>
        </w:rPr>
      </w:pPr>
      <w:r>
        <w:rPr>
          <w:lang w:val="da-DK"/>
        </w:rPr>
        <w:t>Kilde: Yahoo Finance, egen tilvirkning</w:t>
      </w:r>
    </w:p>
    <w:tbl>
      <w:tblPr>
        <w:tblW w:w="9060" w:type="dxa"/>
        <w:tblCellMar>
          <w:left w:w="70" w:type="dxa"/>
          <w:right w:w="70" w:type="dxa"/>
        </w:tblCellMar>
        <w:tblLook w:val="04A0" w:firstRow="1" w:lastRow="0" w:firstColumn="1" w:lastColumn="0" w:noHBand="0" w:noVBand="1"/>
      </w:tblPr>
      <w:tblGrid>
        <w:gridCol w:w="840"/>
        <w:gridCol w:w="2320"/>
        <w:gridCol w:w="1380"/>
        <w:gridCol w:w="1480"/>
        <w:gridCol w:w="300"/>
        <w:gridCol w:w="1360"/>
        <w:gridCol w:w="1380"/>
      </w:tblGrid>
      <w:tr w:rsidR="00EC2011" w:rsidRPr="00EC2011" w14:paraId="3BF57B97" w14:textId="77777777" w:rsidTr="00EC2011">
        <w:trPr>
          <w:trHeight w:val="255"/>
        </w:trPr>
        <w:tc>
          <w:tcPr>
            <w:tcW w:w="840" w:type="dxa"/>
            <w:tcBorders>
              <w:top w:val="nil"/>
              <w:left w:val="nil"/>
              <w:bottom w:val="single" w:sz="4" w:space="0" w:color="auto"/>
              <w:right w:val="single" w:sz="4" w:space="0" w:color="auto"/>
            </w:tcBorders>
            <w:shd w:val="clear" w:color="000000" w:fill="002060"/>
            <w:noWrap/>
            <w:vAlign w:val="bottom"/>
            <w:hideMark/>
          </w:tcPr>
          <w:p w14:paraId="7365FAAF"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Rank</w:t>
            </w:r>
          </w:p>
        </w:tc>
        <w:tc>
          <w:tcPr>
            <w:tcW w:w="2320" w:type="dxa"/>
            <w:tcBorders>
              <w:top w:val="nil"/>
              <w:left w:val="nil"/>
              <w:bottom w:val="single" w:sz="4" w:space="0" w:color="auto"/>
              <w:right w:val="nil"/>
            </w:tcBorders>
            <w:shd w:val="clear" w:color="000000" w:fill="002060"/>
            <w:noWrap/>
            <w:vAlign w:val="bottom"/>
            <w:hideMark/>
          </w:tcPr>
          <w:p w14:paraId="2A4EF959"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Company Name</w:t>
            </w:r>
          </w:p>
        </w:tc>
        <w:tc>
          <w:tcPr>
            <w:tcW w:w="1380" w:type="dxa"/>
            <w:tcBorders>
              <w:top w:val="nil"/>
              <w:left w:val="nil"/>
              <w:bottom w:val="single" w:sz="4" w:space="0" w:color="auto"/>
              <w:right w:val="nil"/>
            </w:tcBorders>
            <w:shd w:val="clear" w:color="000000" w:fill="002060"/>
            <w:noWrap/>
            <w:vAlign w:val="bottom"/>
            <w:hideMark/>
          </w:tcPr>
          <w:p w14:paraId="32C082DB"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Ticker</w:t>
            </w:r>
          </w:p>
        </w:tc>
        <w:tc>
          <w:tcPr>
            <w:tcW w:w="1480" w:type="dxa"/>
            <w:tcBorders>
              <w:top w:val="nil"/>
              <w:left w:val="nil"/>
              <w:bottom w:val="single" w:sz="4" w:space="0" w:color="auto"/>
              <w:right w:val="nil"/>
            </w:tcBorders>
            <w:shd w:val="clear" w:color="000000" w:fill="002060"/>
            <w:noWrap/>
            <w:vAlign w:val="bottom"/>
            <w:hideMark/>
          </w:tcPr>
          <w:p w14:paraId="1E68D5E4"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Total Turnover</w:t>
            </w:r>
          </w:p>
        </w:tc>
        <w:tc>
          <w:tcPr>
            <w:tcW w:w="300" w:type="dxa"/>
            <w:tcBorders>
              <w:top w:val="nil"/>
              <w:left w:val="nil"/>
              <w:bottom w:val="nil"/>
              <w:right w:val="nil"/>
            </w:tcBorders>
            <w:shd w:val="clear" w:color="auto" w:fill="auto"/>
            <w:noWrap/>
            <w:vAlign w:val="bottom"/>
            <w:hideMark/>
          </w:tcPr>
          <w:p w14:paraId="36E2467F"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p>
        </w:tc>
        <w:tc>
          <w:tcPr>
            <w:tcW w:w="1360" w:type="dxa"/>
            <w:tcBorders>
              <w:top w:val="nil"/>
              <w:left w:val="nil"/>
              <w:bottom w:val="single" w:sz="4" w:space="0" w:color="auto"/>
              <w:right w:val="nil"/>
            </w:tcBorders>
            <w:shd w:val="clear" w:color="000000" w:fill="002060"/>
            <w:noWrap/>
            <w:vAlign w:val="bottom"/>
            <w:hideMark/>
          </w:tcPr>
          <w:p w14:paraId="21B75898"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Avg. Full Month Turnover</w:t>
            </w:r>
          </w:p>
        </w:tc>
        <w:tc>
          <w:tcPr>
            <w:tcW w:w="1380" w:type="dxa"/>
            <w:tcBorders>
              <w:top w:val="nil"/>
              <w:left w:val="nil"/>
              <w:bottom w:val="single" w:sz="4" w:space="0" w:color="auto"/>
              <w:right w:val="nil"/>
            </w:tcBorders>
            <w:shd w:val="clear" w:color="000000" w:fill="002060"/>
            <w:noWrap/>
            <w:vAlign w:val="bottom"/>
            <w:hideMark/>
          </w:tcPr>
          <w:p w14:paraId="11CE8C9F" w14:textId="77777777" w:rsidR="00EC2011" w:rsidRPr="00EC2011" w:rsidRDefault="00EC2011" w:rsidP="00EC2011">
            <w:pPr>
              <w:spacing w:after="0" w:line="240" w:lineRule="auto"/>
              <w:rPr>
                <w:rFonts w:ascii="Calibri" w:eastAsia="Times New Roman" w:hAnsi="Calibri" w:cs="Calibri"/>
                <w:b/>
                <w:bCs/>
                <w:color w:val="FFFFFF"/>
                <w:sz w:val="20"/>
                <w:szCs w:val="20"/>
                <w:lang w:val="da-DK" w:eastAsia="da-DK"/>
              </w:rPr>
            </w:pPr>
            <w:r w:rsidRPr="00EC2011">
              <w:rPr>
                <w:rFonts w:ascii="Calibri" w:eastAsia="Times New Roman" w:hAnsi="Calibri" w:cs="Calibri"/>
                <w:b/>
                <w:bCs/>
                <w:color w:val="FFFFFF"/>
                <w:sz w:val="20"/>
                <w:szCs w:val="20"/>
                <w:lang w:val="da-DK" w:eastAsia="da-DK"/>
              </w:rPr>
              <w:t>Turnover 01 - 17/11</w:t>
            </w:r>
          </w:p>
        </w:tc>
      </w:tr>
      <w:tr w:rsidR="00EC2011" w:rsidRPr="00EC2011" w14:paraId="6E87ABD7"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539322C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w:t>
            </w:r>
          </w:p>
        </w:tc>
        <w:tc>
          <w:tcPr>
            <w:tcW w:w="2320" w:type="dxa"/>
            <w:tcBorders>
              <w:top w:val="nil"/>
              <w:left w:val="nil"/>
              <w:bottom w:val="nil"/>
              <w:right w:val="nil"/>
            </w:tcBorders>
            <w:shd w:val="clear" w:color="auto" w:fill="auto"/>
            <w:noWrap/>
            <w:vAlign w:val="bottom"/>
            <w:hideMark/>
          </w:tcPr>
          <w:p w14:paraId="4EAAEF3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Novo Nordisk B</w:t>
            </w:r>
          </w:p>
        </w:tc>
        <w:tc>
          <w:tcPr>
            <w:tcW w:w="1380" w:type="dxa"/>
            <w:tcBorders>
              <w:top w:val="nil"/>
              <w:left w:val="nil"/>
              <w:bottom w:val="nil"/>
              <w:right w:val="nil"/>
            </w:tcBorders>
            <w:shd w:val="clear" w:color="auto" w:fill="auto"/>
            <w:noWrap/>
            <w:vAlign w:val="bottom"/>
            <w:hideMark/>
          </w:tcPr>
          <w:p w14:paraId="0EA8A5B2"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NOVO-B.CO</w:t>
            </w:r>
          </w:p>
        </w:tc>
        <w:tc>
          <w:tcPr>
            <w:tcW w:w="1480" w:type="dxa"/>
            <w:tcBorders>
              <w:top w:val="nil"/>
              <w:left w:val="nil"/>
              <w:bottom w:val="nil"/>
              <w:right w:val="nil"/>
            </w:tcBorders>
            <w:shd w:val="clear" w:color="auto" w:fill="auto"/>
            <w:noWrap/>
            <w:vAlign w:val="bottom"/>
            <w:hideMark/>
          </w:tcPr>
          <w:p w14:paraId="76E9496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215.061</w:t>
            </w:r>
          </w:p>
        </w:tc>
        <w:tc>
          <w:tcPr>
            <w:tcW w:w="300" w:type="dxa"/>
            <w:tcBorders>
              <w:top w:val="nil"/>
              <w:left w:val="nil"/>
              <w:bottom w:val="nil"/>
              <w:right w:val="nil"/>
            </w:tcBorders>
            <w:shd w:val="clear" w:color="auto" w:fill="auto"/>
            <w:noWrap/>
            <w:vAlign w:val="bottom"/>
            <w:hideMark/>
          </w:tcPr>
          <w:p w14:paraId="6EB2911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53743B7A"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38.000</w:t>
            </w:r>
          </w:p>
        </w:tc>
        <w:tc>
          <w:tcPr>
            <w:tcW w:w="1380" w:type="dxa"/>
            <w:tcBorders>
              <w:top w:val="nil"/>
              <w:left w:val="nil"/>
              <w:bottom w:val="nil"/>
              <w:right w:val="nil"/>
            </w:tcBorders>
            <w:shd w:val="clear" w:color="auto" w:fill="auto"/>
            <w:noWrap/>
            <w:vAlign w:val="bottom"/>
            <w:hideMark/>
          </w:tcPr>
          <w:p w14:paraId="2D1A8C5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25.060</w:t>
            </w:r>
          </w:p>
        </w:tc>
      </w:tr>
      <w:tr w:rsidR="00EC2011" w:rsidRPr="00EC2011" w14:paraId="3AEF0F4B"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65D85210"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w:t>
            </w:r>
          </w:p>
        </w:tc>
        <w:tc>
          <w:tcPr>
            <w:tcW w:w="2320" w:type="dxa"/>
            <w:tcBorders>
              <w:top w:val="nil"/>
              <w:left w:val="nil"/>
              <w:bottom w:val="nil"/>
              <w:right w:val="nil"/>
            </w:tcBorders>
            <w:shd w:val="clear" w:color="000000" w:fill="F2F2F2"/>
            <w:noWrap/>
            <w:vAlign w:val="bottom"/>
            <w:hideMark/>
          </w:tcPr>
          <w:p w14:paraId="36D10C80"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DSV A/S</w:t>
            </w:r>
          </w:p>
        </w:tc>
        <w:tc>
          <w:tcPr>
            <w:tcW w:w="1380" w:type="dxa"/>
            <w:tcBorders>
              <w:top w:val="nil"/>
              <w:left w:val="nil"/>
              <w:bottom w:val="nil"/>
              <w:right w:val="nil"/>
            </w:tcBorders>
            <w:shd w:val="clear" w:color="000000" w:fill="F2F2F2"/>
            <w:noWrap/>
            <w:vAlign w:val="bottom"/>
            <w:hideMark/>
          </w:tcPr>
          <w:p w14:paraId="0CD9586E"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DSV.CO</w:t>
            </w:r>
          </w:p>
        </w:tc>
        <w:tc>
          <w:tcPr>
            <w:tcW w:w="1480" w:type="dxa"/>
            <w:tcBorders>
              <w:top w:val="nil"/>
              <w:left w:val="nil"/>
              <w:bottom w:val="nil"/>
              <w:right w:val="nil"/>
            </w:tcBorders>
            <w:shd w:val="clear" w:color="000000" w:fill="F2F2F2"/>
            <w:noWrap/>
            <w:vAlign w:val="bottom"/>
            <w:hideMark/>
          </w:tcPr>
          <w:p w14:paraId="092223D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48.843</w:t>
            </w:r>
          </w:p>
        </w:tc>
        <w:tc>
          <w:tcPr>
            <w:tcW w:w="300" w:type="dxa"/>
            <w:tcBorders>
              <w:top w:val="nil"/>
              <w:left w:val="nil"/>
              <w:bottom w:val="nil"/>
              <w:right w:val="nil"/>
            </w:tcBorders>
            <w:shd w:val="clear" w:color="auto" w:fill="auto"/>
            <w:noWrap/>
            <w:vAlign w:val="bottom"/>
            <w:hideMark/>
          </w:tcPr>
          <w:p w14:paraId="7DC5CB9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281F591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8.722</w:t>
            </w:r>
          </w:p>
        </w:tc>
        <w:tc>
          <w:tcPr>
            <w:tcW w:w="1380" w:type="dxa"/>
            <w:tcBorders>
              <w:top w:val="nil"/>
              <w:left w:val="nil"/>
              <w:bottom w:val="nil"/>
              <w:right w:val="nil"/>
            </w:tcBorders>
            <w:shd w:val="clear" w:color="000000" w:fill="F2F2F2"/>
            <w:noWrap/>
            <w:vAlign w:val="bottom"/>
            <w:hideMark/>
          </w:tcPr>
          <w:p w14:paraId="55A8772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5.231</w:t>
            </w:r>
          </w:p>
        </w:tc>
      </w:tr>
      <w:tr w:rsidR="00EC2011" w:rsidRPr="00EC2011" w14:paraId="7818BD1F"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002A961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w:t>
            </w:r>
          </w:p>
        </w:tc>
        <w:tc>
          <w:tcPr>
            <w:tcW w:w="2320" w:type="dxa"/>
            <w:tcBorders>
              <w:top w:val="nil"/>
              <w:left w:val="nil"/>
              <w:bottom w:val="nil"/>
              <w:right w:val="nil"/>
            </w:tcBorders>
            <w:shd w:val="clear" w:color="auto" w:fill="auto"/>
            <w:noWrap/>
            <w:vAlign w:val="bottom"/>
            <w:hideMark/>
          </w:tcPr>
          <w:p w14:paraId="7CCC2AF8"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Vestas Wind Systems</w:t>
            </w:r>
          </w:p>
        </w:tc>
        <w:tc>
          <w:tcPr>
            <w:tcW w:w="1380" w:type="dxa"/>
            <w:tcBorders>
              <w:top w:val="nil"/>
              <w:left w:val="nil"/>
              <w:bottom w:val="nil"/>
              <w:right w:val="nil"/>
            </w:tcBorders>
            <w:shd w:val="clear" w:color="auto" w:fill="auto"/>
            <w:noWrap/>
            <w:vAlign w:val="bottom"/>
            <w:hideMark/>
          </w:tcPr>
          <w:p w14:paraId="3F9964A8"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VWS.CO</w:t>
            </w:r>
          </w:p>
        </w:tc>
        <w:tc>
          <w:tcPr>
            <w:tcW w:w="1480" w:type="dxa"/>
            <w:tcBorders>
              <w:top w:val="nil"/>
              <w:left w:val="nil"/>
              <w:bottom w:val="nil"/>
              <w:right w:val="nil"/>
            </w:tcBorders>
            <w:shd w:val="clear" w:color="auto" w:fill="auto"/>
            <w:noWrap/>
            <w:vAlign w:val="bottom"/>
            <w:hideMark/>
          </w:tcPr>
          <w:p w14:paraId="7AB74CE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43.587</w:t>
            </w:r>
          </w:p>
        </w:tc>
        <w:tc>
          <w:tcPr>
            <w:tcW w:w="300" w:type="dxa"/>
            <w:tcBorders>
              <w:top w:val="nil"/>
              <w:left w:val="nil"/>
              <w:bottom w:val="nil"/>
              <w:right w:val="nil"/>
            </w:tcBorders>
            <w:shd w:val="clear" w:color="auto" w:fill="auto"/>
            <w:noWrap/>
            <w:vAlign w:val="bottom"/>
            <w:hideMark/>
          </w:tcPr>
          <w:p w14:paraId="650F46B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1619994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7.649</w:t>
            </w:r>
          </w:p>
        </w:tc>
        <w:tc>
          <w:tcPr>
            <w:tcW w:w="1380" w:type="dxa"/>
            <w:tcBorders>
              <w:top w:val="nil"/>
              <w:left w:val="nil"/>
              <w:bottom w:val="nil"/>
              <w:right w:val="nil"/>
            </w:tcBorders>
            <w:shd w:val="clear" w:color="auto" w:fill="auto"/>
            <w:noWrap/>
            <w:vAlign w:val="bottom"/>
            <w:hideMark/>
          </w:tcPr>
          <w:p w14:paraId="6F1AF43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5.342</w:t>
            </w:r>
          </w:p>
        </w:tc>
      </w:tr>
      <w:tr w:rsidR="00EC2011" w:rsidRPr="00EC2011" w14:paraId="49BA0651"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681C3CEE"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w:t>
            </w:r>
          </w:p>
        </w:tc>
        <w:tc>
          <w:tcPr>
            <w:tcW w:w="2320" w:type="dxa"/>
            <w:tcBorders>
              <w:top w:val="nil"/>
              <w:left w:val="nil"/>
              <w:bottom w:val="nil"/>
              <w:right w:val="nil"/>
            </w:tcBorders>
            <w:shd w:val="clear" w:color="000000" w:fill="F2F2F2"/>
            <w:noWrap/>
            <w:vAlign w:val="bottom"/>
            <w:hideMark/>
          </w:tcPr>
          <w:p w14:paraId="1E5A5B3E"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Ørsted A/S</w:t>
            </w:r>
          </w:p>
        </w:tc>
        <w:tc>
          <w:tcPr>
            <w:tcW w:w="1380" w:type="dxa"/>
            <w:tcBorders>
              <w:top w:val="nil"/>
              <w:left w:val="nil"/>
              <w:bottom w:val="nil"/>
              <w:right w:val="nil"/>
            </w:tcBorders>
            <w:shd w:val="clear" w:color="000000" w:fill="F2F2F2"/>
            <w:noWrap/>
            <w:vAlign w:val="bottom"/>
            <w:hideMark/>
          </w:tcPr>
          <w:p w14:paraId="0B6B18C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ORSTED.CO</w:t>
            </w:r>
          </w:p>
        </w:tc>
        <w:tc>
          <w:tcPr>
            <w:tcW w:w="1480" w:type="dxa"/>
            <w:tcBorders>
              <w:top w:val="nil"/>
              <w:left w:val="nil"/>
              <w:bottom w:val="nil"/>
              <w:right w:val="nil"/>
            </w:tcBorders>
            <w:shd w:val="clear" w:color="000000" w:fill="F2F2F2"/>
            <w:noWrap/>
            <w:vAlign w:val="bottom"/>
            <w:hideMark/>
          </w:tcPr>
          <w:p w14:paraId="26A1D65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40.266</w:t>
            </w:r>
          </w:p>
        </w:tc>
        <w:tc>
          <w:tcPr>
            <w:tcW w:w="300" w:type="dxa"/>
            <w:tcBorders>
              <w:top w:val="nil"/>
              <w:left w:val="nil"/>
              <w:bottom w:val="nil"/>
              <w:right w:val="nil"/>
            </w:tcBorders>
            <w:shd w:val="clear" w:color="auto" w:fill="auto"/>
            <w:noWrap/>
            <w:vAlign w:val="bottom"/>
            <w:hideMark/>
          </w:tcPr>
          <w:p w14:paraId="29A9B2B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6E39AC6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6.784</w:t>
            </w:r>
          </w:p>
        </w:tc>
        <w:tc>
          <w:tcPr>
            <w:tcW w:w="1380" w:type="dxa"/>
            <w:tcBorders>
              <w:top w:val="nil"/>
              <w:left w:val="nil"/>
              <w:bottom w:val="nil"/>
              <w:right w:val="nil"/>
            </w:tcBorders>
            <w:shd w:val="clear" w:color="000000" w:fill="F2F2F2"/>
            <w:noWrap/>
            <w:vAlign w:val="bottom"/>
            <w:hideMark/>
          </w:tcPr>
          <w:p w14:paraId="359900A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6.347</w:t>
            </w:r>
          </w:p>
        </w:tc>
      </w:tr>
      <w:tr w:rsidR="00EC2011" w:rsidRPr="00EC2011" w14:paraId="1AA22A1B"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00912580"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w:t>
            </w:r>
          </w:p>
        </w:tc>
        <w:tc>
          <w:tcPr>
            <w:tcW w:w="2320" w:type="dxa"/>
            <w:tcBorders>
              <w:top w:val="nil"/>
              <w:left w:val="nil"/>
              <w:bottom w:val="nil"/>
              <w:right w:val="nil"/>
            </w:tcBorders>
            <w:shd w:val="clear" w:color="auto" w:fill="auto"/>
            <w:noWrap/>
            <w:vAlign w:val="bottom"/>
            <w:hideMark/>
          </w:tcPr>
          <w:p w14:paraId="5B584B5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A.P. Moller - Maersk B</w:t>
            </w:r>
          </w:p>
        </w:tc>
        <w:tc>
          <w:tcPr>
            <w:tcW w:w="1380" w:type="dxa"/>
            <w:tcBorders>
              <w:top w:val="nil"/>
              <w:left w:val="nil"/>
              <w:bottom w:val="nil"/>
              <w:right w:val="nil"/>
            </w:tcBorders>
            <w:shd w:val="clear" w:color="auto" w:fill="auto"/>
            <w:noWrap/>
            <w:vAlign w:val="bottom"/>
            <w:hideMark/>
          </w:tcPr>
          <w:p w14:paraId="654EDFA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MAERSK-B.CO</w:t>
            </w:r>
          </w:p>
        </w:tc>
        <w:tc>
          <w:tcPr>
            <w:tcW w:w="1480" w:type="dxa"/>
            <w:tcBorders>
              <w:top w:val="nil"/>
              <w:left w:val="nil"/>
              <w:bottom w:val="nil"/>
              <w:right w:val="nil"/>
            </w:tcBorders>
            <w:shd w:val="clear" w:color="auto" w:fill="auto"/>
            <w:noWrap/>
            <w:vAlign w:val="bottom"/>
            <w:hideMark/>
          </w:tcPr>
          <w:p w14:paraId="1DE81FC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36.406</w:t>
            </w:r>
          </w:p>
        </w:tc>
        <w:tc>
          <w:tcPr>
            <w:tcW w:w="300" w:type="dxa"/>
            <w:tcBorders>
              <w:top w:val="nil"/>
              <w:left w:val="nil"/>
              <w:bottom w:val="nil"/>
              <w:right w:val="nil"/>
            </w:tcBorders>
            <w:shd w:val="clear" w:color="auto" w:fill="auto"/>
            <w:noWrap/>
            <w:vAlign w:val="bottom"/>
            <w:hideMark/>
          </w:tcPr>
          <w:p w14:paraId="6D18020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4D121C6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6.250</w:t>
            </w:r>
          </w:p>
        </w:tc>
        <w:tc>
          <w:tcPr>
            <w:tcW w:w="1380" w:type="dxa"/>
            <w:tcBorders>
              <w:top w:val="nil"/>
              <w:left w:val="nil"/>
              <w:bottom w:val="nil"/>
              <w:right w:val="nil"/>
            </w:tcBorders>
            <w:shd w:val="clear" w:color="auto" w:fill="auto"/>
            <w:noWrap/>
            <w:vAlign w:val="bottom"/>
            <w:hideMark/>
          </w:tcPr>
          <w:p w14:paraId="4AD9A52A"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5.153</w:t>
            </w:r>
          </w:p>
        </w:tc>
      </w:tr>
      <w:tr w:rsidR="00EC2011" w:rsidRPr="00EC2011" w14:paraId="0F346E2C"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5A360C3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w:t>
            </w:r>
          </w:p>
        </w:tc>
        <w:tc>
          <w:tcPr>
            <w:tcW w:w="2320" w:type="dxa"/>
            <w:tcBorders>
              <w:top w:val="nil"/>
              <w:left w:val="nil"/>
              <w:bottom w:val="nil"/>
              <w:right w:val="nil"/>
            </w:tcBorders>
            <w:shd w:val="clear" w:color="000000" w:fill="F2F2F2"/>
            <w:noWrap/>
            <w:vAlign w:val="bottom"/>
            <w:hideMark/>
          </w:tcPr>
          <w:p w14:paraId="667FCC4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Genmab A/S</w:t>
            </w:r>
          </w:p>
        </w:tc>
        <w:tc>
          <w:tcPr>
            <w:tcW w:w="1380" w:type="dxa"/>
            <w:tcBorders>
              <w:top w:val="nil"/>
              <w:left w:val="nil"/>
              <w:bottom w:val="nil"/>
              <w:right w:val="nil"/>
            </w:tcBorders>
            <w:shd w:val="clear" w:color="000000" w:fill="F2F2F2"/>
            <w:noWrap/>
            <w:vAlign w:val="bottom"/>
            <w:hideMark/>
          </w:tcPr>
          <w:p w14:paraId="4FCDD83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GMAB.CO</w:t>
            </w:r>
          </w:p>
        </w:tc>
        <w:tc>
          <w:tcPr>
            <w:tcW w:w="1480" w:type="dxa"/>
            <w:tcBorders>
              <w:top w:val="nil"/>
              <w:left w:val="nil"/>
              <w:bottom w:val="nil"/>
              <w:right w:val="nil"/>
            </w:tcBorders>
            <w:shd w:val="clear" w:color="000000" w:fill="F2F2F2"/>
            <w:noWrap/>
            <w:vAlign w:val="bottom"/>
            <w:hideMark/>
          </w:tcPr>
          <w:p w14:paraId="26ED07A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26.448</w:t>
            </w:r>
          </w:p>
        </w:tc>
        <w:tc>
          <w:tcPr>
            <w:tcW w:w="300" w:type="dxa"/>
            <w:tcBorders>
              <w:top w:val="nil"/>
              <w:left w:val="nil"/>
              <w:bottom w:val="nil"/>
              <w:right w:val="nil"/>
            </w:tcBorders>
            <w:shd w:val="clear" w:color="auto" w:fill="auto"/>
            <w:noWrap/>
            <w:vAlign w:val="bottom"/>
            <w:hideMark/>
          </w:tcPr>
          <w:p w14:paraId="6E4A8E2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3D3CE9E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4.532</w:t>
            </w:r>
          </w:p>
        </w:tc>
        <w:tc>
          <w:tcPr>
            <w:tcW w:w="1380" w:type="dxa"/>
            <w:tcBorders>
              <w:top w:val="nil"/>
              <w:left w:val="nil"/>
              <w:bottom w:val="nil"/>
              <w:right w:val="nil"/>
            </w:tcBorders>
            <w:shd w:val="clear" w:color="000000" w:fill="F2F2F2"/>
            <w:noWrap/>
            <w:vAlign w:val="bottom"/>
            <w:hideMark/>
          </w:tcPr>
          <w:p w14:paraId="64E70EE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3.788</w:t>
            </w:r>
          </w:p>
        </w:tc>
      </w:tr>
      <w:tr w:rsidR="00EC2011" w:rsidRPr="00EC2011" w14:paraId="50F77013"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697339D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w:t>
            </w:r>
          </w:p>
        </w:tc>
        <w:tc>
          <w:tcPr>
            <w:tcW w:w="2320" w:type="dxa"/>
            <w:tcBorders>
              <w:top w:val="nil"/>
              <w:left w:val="nil"/>
              <w:bottom w:val="nil"/>
              <w:right w:val="nil"/>
            </w:tcBorders>
            <w:shd w:val="clear" w:color="auto" w:fill="auto"/>
            <w:noWrap/>
            <w:vAlign w:val="bottom"/>
            <w:hideMark/>
          </w:tcPr>
          <w:p w14:paraId="047DEAB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Danske Bank</w:t>
            </w:r>
          </w:p>
        </w:tc>
        <w:tc>
          <w:tcPr>
            <w:tcW w:w="1380" w:type="dxa"/>
            <w:tcBorders>
              <w:top w:val="nil"/>
              <w:left w:val="nil"/>
              <w:bottom w:val="nil"/>
              <w:right w:val="nil"/>
            </w:tcBorders>
            <w:shd w:val="clear" w:color="auto" w:fill="auto"/>
            <w:noWrap/>
            <w:vAlign w:val="bottom"/>
            <w:hideMark/>
          </w:tcPr>
          <w:p w14:paraId="6DA2DFA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DANSKE.CO</w:t>
            </w:r>
          </w:p>
        </w:tc>
        <w:tc>
          <w:tcPr>
            <w:tcW w:w="1480" w:type="dxa"/>
            <w:tcBorders>
              <w:top w:val="nil"/>
              <w:left w:val="nil"/>
              <w:bottom w:val="nil"/>
              <w:right w:val="nil"/>
            </w:tcBorders>
            <w:shd w:val="clear" w:color="auto" w:fill="auto"/>
            <w:noWrap/>
            <w:vAlign w:val="bottom"/>
            <w:hideMark/>
          </w:tcPr>
          <w:p w14:paraId="1C6BBE3A"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25.407</w:t>
            </w:r>
          </w:p>
        </w:tc>
        <w:tc>
          <w:tcPr>
            <w:tcW w:w="300" w:type="dxa"/>
            <w:tcBorders>
              <w:top w:val="nil"/>
              <w:left w:val="nil"/>
              <w:bottom w:val="nil"/>
              <w:right w:val="nil"/>
            </w:tcBorders>
            <w:shd w:val="clear" w:color="auto" w:fill="auto"/>
            <w:noWrap/>
            <w:vAlign w:val="bottom"/>
            <w:hideMark/>
          </w:tcPr>
          <w:p w14:paraId="6C6D6A8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3C9D4E8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4.462</w:t>
            </w:r>
          </w:p>
        </w:tc>
        <w:tc>
          <w:tcPr>
            <w:tcW w:w="1380" w:type="dxa"/>
            <w:tcBorders>
              <w:top w:val="nil"/>
              <w:left w:val="nil"/>
              <w:bottom w:val="nil"/>
              <w:right w:val="nil"/>
            </w:tcBorders>
            <w:shd w:val="clear" w:color="auto" w:fill="auto"/>
            <w:noWrap/>
            <w:vAlign w:val="bottom"/>
            <w:hideMark/>
          </w:tcPr>
          <w:p w14:paraId="79DA90F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3.095</w:t>
            </w:r>
          </w:p>
        </w:tc>
      </w:tr>
      <w:tr w:rsidR="00EC2011" w:rsidRPr="00EC2011" w14:paraId="2EBF9020"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3F9372E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w:t>
            </w:r>
          </w:p>
        </w:tc>
        <w:tc>
          <w:tcPr>
            <w:tcW w:w="2320" w:type="dxa"/>
            <w:tcBorders>
              <w:top w:val="nil"/>
              <w:left w:val="nil"/>
              <w:bottom w:val="nil"/>
              <w:right w:val="nil"/>
            </w:tcBorders>
            <w:shd w:val="clear" w:color="000000" w:fill="F2F2F2"/>
            <w:noWrap/>
            <w:vAlign w:val="bottom"/>
            <w:hideMark/>
          </w:tcPr>
          <w:p w14:paraId="16ACC8C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Coloplast B</w:t>
            </w:r>
          </w:p>
        </w:tc>
        <w:tc>
          <w:tcPr>
            <w:tcW w:w="1380" w:type="dxa"/>
            <w:tcBorders>
              <w:top w:val="nil"/>
              <w:left w:val="nil"/>
              <w:bottom w:val="nil"/>
              <w:right w:val="nil"/>
            </w:tcBorders>
            <w:shd w:val="clear" w:color="000000" w:fill="F2F2F2"/>
            <w:noWrap/>
            <w:vAlign w:val="bottom"/>
            <w:hideMark/>
          </w:tcPr>
          <w:p w14:paraId="7D9EB26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COLO-B.CO</w:t>
            </w:r>
          </w:p>
        </w:tc>
        <w:tc>
          <w:tcPr>
            <w:tcW w:w="1480" w:type="dxa"/>
            <w:tcBorders>
              <w:top w:val="nil"/>
              <w:left w:val="nil"/>
              <w:bottom w:val="nil"/>
              <w:right w:val="nil"/>
            </w:tcBorders>
            <w:shd w:val="clear" w:color="000000" w:fill="F2F2F2"/>
            <w:noWrap/>
            <w:vAlign w:val="bottom"/>
            <w:hideMark/>
          </w:tcPr>
          <w:p w14:paraId="4C30451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21.766</w:t>
            </w:r>
          </w:p>
        </w:tc>
        <w:tc>
          <w:tcPr>
            <w:tcW w:w="300" w:type="dxa"/>
            <w:tcBorders>
              <w:top w:val="nil"/>
              <w:left w:val="nil"/>
              <w:bottom w:val="nil"/>
              <w:right w:val="nil"/>
            </w:tcBorders>
            <w:shd w:val="clear" w:color="auto" w:fill="auto"/>
            <w:noWrap/>
            <w:vAlign w:val="bottom"/>
            <w:hideMark/>
          </w:tcPr>
          <w:p w14:paraId="72D8158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66BE5AB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3.915</w:t>
            </w:r>
          </w:p>
        </w:tc>
        <w:tc>
          <w:tcPr>
            <w:tcW w:w="1380" w:type="dxa"/>
            <w:tcBorders>
              <w:top w:val="nil"/>
              <w:left w:val="nil"/>
              <w:bottom w:val="nil"/>
              <w:right w:val="nil"/>
            </w:tcBorders>
            <w:shd w:val="clear" w:color="000000" w:fill="F2F2F2"/>
            <w:noWrap/>
            <w:vAlign w:val="bottom"/>
            <w:hideMark/>
          </w:tcPr>
          <w:p w14:paraId="2FAA2E5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2.190</w:t>
            </w:r>
          </w:p>
        </w:tc>
      </w:tr>
      <w:tr w:rsidR="00EC2011" w:rsidRPr="00EC2011" w14:paraId="004EE303"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0608E608"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9</w:t>
            </w:r>
          </w:p>
        </w:tc>
        <w:tc>
          <w:tcPr>
            <w:tcW w:w="2320" w:type="dxa"/>
            <w:tcBorders>
              <w:top w:val="nil"/>
              <w:left w:val="nil"/>
              <w:bottom w:val="nil"/>
              <w:right w:val="nil"/>
            </w:tcBorders>
            <w:shd w:val="clear" w:color="auto" w:fill="auto"/>
            <w:noWrap/>
            <w:vAlign w:val="bottom"/>
            <w:hideMark/>
          </w:tcPr>
          <w:p w14:paraId="1E6D828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Carlsberg A/S B</w:t>
            </w:r>
          </w:p>
        </w:tc>
        <w:tc>
          <w:tcPr>
            <w:tcW w:w="1380" w:type="dxa"/>
            <w:tcBorders>
              <w:top w:val="nil"/>
              <w:left w:val="nil"/>
              <w:bottom w:val="nil"/>
              <w:right w:val="nil"/>
            </w:tcBorders>
            <w:shd w:val="clear" w:color="auto" w:fill="auto"/>
            <w:noWrap/>
            <w:vAlign w:val="bottom"/>
            <w:hideMark/>
          </w:tcPr>
          <w:p w14:paraId="6A35ECD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CARL-B.CO</w:t>
            </w:r>
          </w:p>
        </w:tc>
        <w:tc>
          <w:tcPr>
            <w:tcW w:w="1480" w:type="dxa"/>
            <w:tcBorders>
              <w:top w:val="nil"/>
              <w:left w:val="nil"/>
              <w:bottom w:val="nil"/>
              <w:right w:val="nil"/>
            </w:tcBorders>
            <w:shd w:val="clear" w:color="auto" w:fill="auto"/>
            <w:noWrap/>
            <w:vAlign w:val="bottom"/>
            <w:hideMark/>
          </w:tcPr>
          <w:p w14:paraId="31CB752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21.485</w:t>
            </w:r>
          </w:p>
        </w:tc>
        <w:tc>
          <w:tcPr>
            <w:tcW w:w="300" w:type="dxa"/>
            <w:tcBorders>
              <w:top w:val="nil"/>
              <w:left w:val="nil"/>
              <w:bottom w:val="nil"/>
              <w:right w:val="nil"/>
            </w:tcBorders>
            <w:shd w:val="clear" w:color="auto" w:fill="auto"/>
            <w:noWrap/>
            <w:vAlign w:val="bottom"/>
            <w:hideMark/>
          </w:tcPr>
          <w:p w14:paraId="655A47D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5382C17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3.788</w:t>
            </w:r>
          </w:p>
        </w:tc>
        <w:tc>
          <w:tcPr>
            <w:tcW w:w="1380" w:type="dxa"/>
            <w:tcBorders>
              <w:top w:val="nil"/>
              <w:left w:val="nil"/>
              <w:bottom w:val="nil"/>
              <w:right w:val="nil"/>
            </w:tcBorders>
            <w:shd w:val="clear" w:color="auto" w:fill="auto"/>
            <w:noWrap/>
            <w:vAlign w:val="bottom"/>
            <w:hideMark/>
          </w:tcPr>
          <w:p w14:paraId="5A44110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2.546</w:t>
            </w:r>
          </w:p>
        </w:tc>
      </w:tr>
      <w:tr w:rsidR="00EC2011" w:rsidRPr="00EC2011" w14:paraId="1CCF34E1"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6D67A1E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w:t>
            </w:r>
          </w:p>
        </w:tc>
        <w:tc>
          <w:tcPr>
            <w:tcW w:w="2320" w:type="dxa"/>
            <w:tcBorders>
              <w:top w:val="nil"/>
              <w:left w:val="nil"/>
              <w:bottom w:val="nil"/>
              <w:right w:val="nil"/>
            </w:tcBorders>
            <w:shd w:val="clear" w:color="000000" w:fill="F2F2F2"/>
            <w:noWrap/>
            <w:vAlign w:val="bottom"/>
            <w:hideMark/>
          </w:tcPr>
          <w:p w14:paraId="3BBB4DD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Pandora</w:t>
            </w:r>
          </w:p>
        </w:tc>
        <w:tc>
          <w:tcPr>
            <w:tcW w:w="1380" w:type="dxa"/>
            <w:tcBorders>
              <w:top w:val="nil"/>
              <w:left w:val="nil"/>
              <w:bottom w:val="nil"/>
              <w:right w:val="nil"/>
            </w:tcBorders>
            <w:shd w:val="clear" w:color="000000" w:fill="F2F2F2"/>
            <w:noWrap/>
            <w:vAlign w:val="bottom"/>
            <w:hideMark/>
          </w:tcPr>
          <w:p w14:paraId="1BA65CC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PNDORA.CO</w:t>
            </w:r>
          </w:p>
        </w:tc>
        <w:tc>
          <w:tcPr>
            <w:tcW w:w="1480" w:type="dxa"/>
            <w:tcBorders>
              <w:top w:val="nil"/>
              <w:left w:val="nil"/>
              <w:bottom w:val="nil"/>
              <w:right w:val="nil"/>
            </w:tcBorders>
            <w:shd w:val="clear" w:color="000000" w:fill="F2F2F2"/>
            <w:noWrap/>
            <w:vAlign w:val="bottom"/>
            <w:hideMark/>
          </w:tcPr>
          <w:p w14:paraId="5841AA5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21.046</w:t>
            </w:r>
          </w:p>
        </w:tc>
        <w:tc>
          <w:tcPr>
            <w:tcW w:w="300" w:type="dxa"/>
            <w:tcBorders>
              <w:top w:val="nil"/>
              <w:left w:val="nil"/>
              <w:bottom w:val="nil"/>
              <w:right w:val="nil"/>
            </w:tcBorders>
            <w:shd w:val="clear" w:color="auto" w:fill="auto"/>
            <w:noWrap/>
            <w:vAlign w:val="bottom"/>
            <w:hideMark/>
          </w:tcPr>
          <w:p w14:paraId="6A317F7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07F49FC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3.589</w:t>
            </w:r>
          </w:p>
        </w:tc>
        <w:tc>
          <w:tcPr>
            <w:tcW w:w="1380" w:type="dxa"/>
            <w:tcBorders>
              <w:top w:val="nil"/>
              <w:left w:val="nil"/>
              <w:bottom w:val="nil"/>
              <w:right w:val="nil"/>
            </w:tcBorders>
            <w:shd w:val="clear" w:color="000000" w:fill="F2F2F2"/>
            <w:noWrap/>
            <w:vAlign w:val="bottom"/>
            <w:hideMark/>
          </w:tcPr>
          <w:p w14:paraId="4EA14B3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3.100</w:t>
            </w:r>
          </w:p>
        </w:tc>
      </w:tr>
      <w:tr w:rsidR="00EC2011" w:rsidRPr="00EC2011" w14:paraId="04E98C7D"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542C628B"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11</w:t>
            </w:r>
          </w:p>
        </w:tc>
        <w:tc>
          <w:tcPr>
            <w:tcW w:w="2320" w:type="dxa"/>
            <w:tcBorders>
              <w:top w:val="nil"/>
              <w:left w:val="nil"/>
              <w:bottom w:val="nil"/>
              <w:right w:val="nil"/>
            </w:tcBorders>
            <w:shd w:val="clear" w:color="auto" w:fill="auto"/>
            <w:noWrap/>
            <w:vAlign w:val="bottom"/>
            <w:hideMark/>
          </w:tcPr>
          <w:p w14:paraId="45CD614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Novozymes B</w:t>
            </w:r>
          </w:p>
        </w:tc>
        <w:tc>
          <w:tcPr>
            <w:tcW w:w="1380" w:type="dxa"/>
            <w:tcBorders>
              <w:top w:val="nil"/>
              <w:left w:val="nil"/>
              <w:bottom w:val="nil"/>
              <w:right w:val="nil"/>
            </w:tcBorders>
            <w:shd w:val="clear" w:color="auto" w:fill="auto"/>
            <w:noWrap/>
            <w:vAlign w:val="bottom"/>
            <w:hideMark/>
          </w:tcPr>
          <w:p w14:paraId="731A11D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NZYM-B.CO</w:t>
            </w:r>
          </w:p>
        </w:tc>
        <w:tc>
          <w:tcPr>
            <w:tcW w:w="1480" w:type="dxa"/>
            <w:tcBorders>
              <w:top w:val="nil"/>
              <w:left w:val="nil"/>
              <w:bottom w:val="nil"/>
              <w:right w:val="nil"/>
            </w:tcBorders>
            <w:shd w:val="clear" w:color="auto" w:fill="auto"/>
            <w:noWrap/>
            <w:vAlign w:val="bottom"/>
            <w:hideMark/>
          </w:tcPr>
          <w:p w14:paraId="4A2B93F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18.236</w:t>
            </w:r>
          </w:p>
        </w:tc>
        <w:tc>
          <w:tcPr>
            <w:tcW w:w="300" w:type="dxa"/>
            <w:tcBorders>
              <w:top w:val="nil"/>
              <w:left w:val="nil"/>
              <w:bottom w:val="nil"/>
              <w:right w:val="nil"/>
            </w:tcBorders>
            <w:shd w:val="clear" w:color="auto" w:fill="auto"/>
            <w:noWrap/>
            <w:vAlign w:val="bottom"/>
            <w:hideMark/>
          </w:tcPr>
          <w:p w14:paraId="04D928F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1A04DC87"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3.148</w:t>
            </w:r>
          </w:p>
        </w:tc>
        <w:tc>
          <w:tcPr>
            <w:tcW w:w="1380" w:type="dxa"/>
            <w:tcBorders>
              <w:top w:val="nil"/>
              <w:left w:val="nil"/>
              <w:bottom w:val="nil"/>
              <w:right w:val="nil"/>
            </w:tcBorders>
            <w:shd w:val="clear" w:color="auto" w:fill="auto"/>
            <w:noWrap/>
            <w:vAlign w:val="bottom"/>
            <w:hideMark/>
          </w:tcPr>
          <w:p w14:paraId="478CF03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2.494</w:t>
            </w:r>
          </w:p>
        </w:tc>
      </w:tr>
      <w:tr w:rsidR="00EC2011" w:rsidRPr="00EC2011" w14:paraId="4318A17D"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0EBF4498"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w:t>
            </w:r>
          </w:p>
        </w:tc>
        <w:tc>
          <w:tcPr>
            <w:tcW w:w="2320" w:type="dxa"/>
            <w:tcBorders>
              <w:top w:val="nil"/>
              <w:left w:val="nil"/>
              <w:bottom w:val="nil"/>
              <w:right w:val="nil"/>
            </w:tcBorders>
            <w:shd w:val="clear" w:color="000000" w:fill="F2F2F2"/>
            <w:noWrap/>
            <w:vAlign w:val="bottom"/>
            <w:hideMark/>
          </w:tcPr>
          <w:p w14:paraId="5AB74300"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Tryg</w:t>
            </w:r>
          </w:p>
        </w:tc>
        <w:tc>
          <w:tcPr>
            <w:tcW w:w="1380" w:type="dxa"/>
            <w:tcBorders>
              <w:top w:val="nil"/>
              <w:left w:val="nil"/>
              <w:bottom w:val="nil"/>
              <w:right w:val="nil"/>
            </w:tcBorders>
            <w:shd w:val="clear" w:color="000000" w:fill="F2F2F2"/>
            <w:noWrap/>
            <w:vAlign w:val="bottom"/>
            <w:hideMark/>
          </w:tcPr>
          <w:p w14:paraId="4392314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TRYG.CO</w:t>
            </w:r>
          </w:p>
        </w:tc>
        <w:tc>
          <w:tcPr>
            <w:tcW w:w="1480" w:type="dxa"/>
            <w:tcBorders>
              <w:top w:val="nil"/>
              <w:left w:val="nil"/>
              <w:bottom w:val="nil"/>
              <w:right w:val="nil"/>
            </w:tcBorders>
            <w:shd w:val="clear" w:color="000000" w:fill="F2F2F2"/>
            <w:noWrap/>
            <w:vAlign w:val="bottom"/>
            <w:hideMark/>
          </w:tcPr>
          <w:p w14:paraId="5A79B90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12.155</w:t>
            </w:r>
          </w:p>
        </w:tc>
        <w:tc>
          <w:tcPr>
            <w:tcW w:w="300" w:type="dxa"/>
            <w:tcBorders>
              <w:top w:val="nil"/>
              <w:left w:val="nil"/>
              <w:bottom w:val="nil"/>
              <w:right w:val="nil"/>
            </w:tcBorders>
            <w:shd w:val="clear" w:color="auto" w:fill="auto"/>
            <w:noWrap/>
            <w:vAlign w:val="bottom"/>
            <w:hideMark/>
          </w:tcPr>
          <w:p w14:paraId="0ABB1C0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472F090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2.197</w:t>
            </w:r>
          </w:p>
        </w:tc>
        <w:tc>
          <w:tcPr>
            <w:tcW w:w="1380" w:type="dxa"/>
            <w:tcBorders>
              <w:top w:val="nil"/>
              <w:left w:val="nil"/>
              <w:bottom w:val="nil"/>
              <w:right w:val="nil"/>
            </w:tcBorders>
            <w:shd w:val="clear" w:color="000000" w:fill="F2F2F2"/>
            <w:noWrap/>
            <w:vAlign w:val="bottom"/>
            <w:hideMark/>
          </w:tcPr>
          <w:p w14:paraId="7279BB7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1.171</w:t>
            </w:r>
          </w:p>
        </w:tc>
      </w:tr>
      <w:tr w:rsidR="00EC2011" w:rsidRPr="00EC2011" w14:paraId="11882502"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22F7FE2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13</w:t>
            </w:r>
          </w:p>
        </w:tc>
        <w:tc>
          <w:tcPr>
            <w:tcW w:w="2320" w:type="dxa"/>
            <w:tcBorders>
              <w:top w:val="nil"/>
              <w:left w:val="nil"/>
              <w:bottom w:val="nil"/>
              <w:right w:val="nil"/>
            </w:tcBorders>
            <w:shd w:val="clear" w:color="auto" w:fill="auto"/>
            <w:noWrap/>
            <w:vAlign w:val="bottom"/>
            <w:hideMark/>
          </w:tcPr>
          <w:p w14:paraId="1EDE959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GN Store Nord</w:t>
            </w:r>
          </w:p>
        </w:tc>
        <w:tc>
          <w:tcPr>
            <w:tcW w:w="1380" w:type="dxa"/>
            <w:tcBorders>
              <w:top w:val="nil"/>
              <w:left w:val="nil"/>
              <w:bottom w:val="nil"/>
              <w:right w:val="nil"/>
            </w:tcBorders>
            <w:shd w:val="clear" w:color="auto" w:fill="auto"/>
            <w:noWrap/>
            <w:vAlign w:val="bottom"/>
            <w:hideMark/>
          </w:tcPr>
          <w:p w14:paraId="5C1D466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GN.CO</w:t>
            </w:r>
          </w:p>
        </w:tc>
        <w:tc>
          <w:tcPr>
            <w:tcW w:w="1480" w:type="dxa"/>
            <w:tcBorders>
              <w:top w:val="nil"/>
              <w:left w:val="nil"/>
              <w:bottom w:val="nil"/>
              <w:right w:val="nil"/>
            </w:tcBorders>
            <w:shd w:val="clear" w:color="auto" w:fill="auto"/>
            <w:noWrap/>
            <w:vAlign w:val="bottom"/>
            <w:hideMark/>
          </w:tcPr>
          <w:p w14:paraId="6A23A08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10.710</w:t>
            </w:r>
          </w:p>
        </w:tc>
        <w:tc>
          <w:tcPr>
            <w:tcW w:w="300" w:type="dxa"/>
            <w:tcBorders>
              <w:top w:val="nil"/>
              <w:left w:val="nil"/>
              <w:bottom w:val="nil"/>
              <w:right w:val="nil"/>
            </w:tcBorders>
            <w:shd w:val="clear" w:color="auto" w:fill="auto"/>
            <w:noWrap/>
            <w:vAlign w:val="bottom"/>
            <w:hideMark/>
          </w:tcPr>
          <w:p w14:paraId="73D17E0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46DDCF5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1.797</w:t>
            </w:r>
          </w:p>
        </w:tc>
        <w:tc>
          <w:tcPr>
            <w:tcW w:w="1380" w:type="dxa"/>
            <w:tcBorders>
              <w:top w:val="nil"/>
              <w:left w:val="nil"/>
              <w:bottom w:val="nil"/>
              <w:right w:val="nil"/>
            </w:tcBorders>
            <w:shd w:val="clear" w:color="auto" w:fill="auto"/>
            <w:noWrap/>
            <w:vAlign w:val="bottom"/>
            <w:hideMark/>
          </w:tcPr>
          <w:p w14:paraId="4667A74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1.724</w:t>
            </w:r>
          </w:p>
        </w:tc>
      </w:tr>
      <w:tr w:rsidR="00EC2011" w:rsidRPr="00EC2011" w14:paraId="1ACC12B9"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2F0080A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14</w:t>
            </w:r>
          </w:p>
        </w:tc>
        <w:tc>
          <w:tcPr>
            <w:tcW w:w="2320" w:type="dxa"/>
            <w:tcBorders>
              <w:top w:val="nil"/>
              <w:left w:val="nil"/>
              <w:bottom w:val="nil"/>
              <w:right w:val="nil"/>
            </w:tcBorders>
            <w:shd w:val="clear" w:color="000000" w:fill="F2F2F2"/>
            <w:noWrap/>
            <w:vAlign w:val="bottom"/>
            <w:hideMark/>
          </w:tcPr>
          <w:p w14:paraId="4153CEE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A.P. Moller - Maersk A</w:t>
            </w:r>
          </w:p>
        </w:tc>
        <w:tc>
          <w:tcPr>
            <w:tcW w:w="1380" w:type="dxa"/>
            <w:tcBorders>
              <w:top w:val="nil"/>
              <w:left w:val="nil"/>
              <w:bottom w:val="nil"/>
              <w:right w:val="nil"/>
            </w:tcBorders>
            <w:shd w:val="clear" w:color="000000" w:fill="F2F2F2"/>
            <w:noWrap/>
            <w:vAlign w:val="bottom"/>
            <w:hideMark/>
          </w:tcPr>
          <w:p w14:paraId="4736082E"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MAERSK-A.CO</w:t>
            </w:r>
          </w:p>
        </w:tc>
        <w:tc>
          <w:tcPr>
            <w:tcW w:w="1480" w:type="dxa"/>
            <w:tcBorders>
              <w:top w:val="nil"/>
              <w:left w:val="nil"/>
              <w:bottom w:val="nil"/>
              <w:right w:val="nil"/>
            </w:tcBorders>
            <w:shd w:val="clear" w:color="000000" w:fill="F2F2F2"/>
            <w:noWrap/>
            <w:vAlign w:val="bottom"/>
            <w:hideMark/>
          </w:tcPr>
          <w:p w14:paraId="7EE49B6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9.635</w:t>
            </w:r>
          </w:p>
        </w:tc>
        <w:tc>
          <w:tcPr>
            <w:tcW w:w="300" w:type="dxa"/>
            <w:tcBorders>
              <w:top w:val="nil"/>
              <w:left w:val="nil"/>
              <w:bottom w:val="nil"/>
              <w:right w:val="nil"/>
            </w:tcBorders>
            <w:shd w:val="clear" w:color="auto" w:fill="auto"/>
            <w:noWrap/>
            <w:vAlign w:val="bottom"/>
            <w:hideMark/>
          </w:tcPr>
          <w:p w14:paraId="2329F42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1B88C8F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1.690</w:t>
            </w:r>
          </w:p>
        </w:tc>
        <w:tc>
          <w:tcPr>
            <w:tcW w:w="1380" w:type="dxa"/>
            <w:tcBorders>
              <w:top w:val="nil"/>
              <w:left w:val="nil"/>
              <w:bottom w:val="nil"/>
              <w:right w:val="nil"/>
            </w:tcBorders>
            <w:shd w:val="clear" w:color="000000" w:fill="F2F2F2"/>
            <w:noWrap/>
            <w:vAlign w:val="bottom"/>
            <w:hideMark/>
          </w:tcPr>
          <w:p w14:paraId="6991D60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1.184</w:t>
            </w:r>
          </w:p>
        </w:tc>
      </w:tr>
      <w:tr w:rsidR="00EC2011" w:rsidRPr="00EC2011" w14:paraId="529EA2DC"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21F710A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15</w:t>
            </w:r>
          </w:p>
        </w:tc>
        <w:tc>
          <w:tcPr>
            <w:tcW w:w="2320" w:type="dxa"/>
            <w:tcBorders>
              <w:top w:val="nil"/>
              <w:left w:val="nil"/>
              <w:bottom w:val="nil"/>
              <w:right w:val="nil"/>
            </w:tcBorders>
            <w:shd w:val="clear" w:color="auto" w:fill="auto"/>
            <w:noWrap/>
            <w:vAlign w:val="bottom"/>
            <w:hideMark/>
          </w:tcPr>
          <w:p w14:paraId="1E47DC5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Demant A/S</w:t>
            </w:r>
          </w:p>
        </w:tc>
        <w:tc>
          <w:tcPr>
            <w:tcW w:w="1380" w:type="dxa"/>
            <w:tcBorders>
              <w:top w:val="nil"/>
              <w:left w:val="nil"/>
              <w:bottom w:val="nil"/>
              <w:right w:val="nil"/>
            </w:tcBorders>
            <w:shd w:val="clear" w:color="auto" w:fill="auto"/>
            <w:noWrap/>
            <w:vAlign w:val="bottom"/>
            <w:hideMark/>
          </w:tcPr>
          <w:p w14:paraId="45DDF756"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DEMANT.CO</w:t>
            </w:r>
          </w:p>
        </w:tc>
        <w:tc>
          <w:tcPr>
            <w:tcW w:w="1480" w:type="dxa"/>
            <w:tcBorders>
              <w:top w:val="nil"/>
              <w:left w:val="nil"/>
              <w:bottom w:val="nil"/>
              <w:right w:val="nil"/>
            </w:tcBorders>
            <w:shd w:val="clear" w:color="auto" w:fill="auto"/>
            <w:noWrap/>
            <w:vAlign w:val="bottom"/>
            <w:hideMark/>
          </w:tcPr>
          <w:p w14:paraId="6F667B6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9.432</w:t>
            </w:r>
          </w:p>
        </w:tc>
        <w:tc>
          <w:tcPr>
            <w:tcW w:w="300" w:type="dxa"/>
            <w:tcBorders>
              <w:top w:val="nil"/>
              <w:left w:val="nil"/>
              <w:bottom w:val="nil"/>
              <w:right w:val="nil"/>
            </w:tcBorders>
            <w:shd w:val="clear" w:color="auto" w:fill="auto"/>
            <w:noWrap/>
            <w:vAlign w:val="bottom"/>
            <w:hideMark/>
          </w:tcPr>
          <w:p w14:paraId="4998099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68B589B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1.672</w:t>
            </w:r>
          </w:p>
        </w:tc>
        <w:tc>
          <w:tcPr>
            <w:tcW w:w="1380" w:type="dxa"/>
            <w:tcBorders>
              <w:top w:val="nil"/>
              <w:left w:val="nil"/>
              <w:bottom w:val="nil"/>
              <w:right w:val="nil"/>
            </w:tcBorders>
            <w:shd w:val="clear" w:color="auto" w:fill="auto"/>
            <w:noWrap/>
            <w:vAlign w:val="bottom"/>
            <w:hideMark/>
          </w:tcPr>
          <w:p w14:paraId="177084A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1.073</w:t>
            </w:r>
          </w:p>
        </w:tc>
      </w:tr>
      <w:tr w:rsidR="00EC2011" w:rsidRPr="00EC2011" w14:paraId="4879899B"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2ADAACB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lastRenderedPageBreak/>
              <w:t>16</w:t>
            </w:r>
          </w:p>
        </w:tc>
        <w:tc>
          <w:tcPr>
            <w:tcW w:w="2320" w:type="dxa"/>
            <w:tcBorders>
              <w:top w:val="nil"/>
              <w:left w:val="nil"/>
              <w:bottom w:val="nil"/>
              <w:right w:val="nil"/>
            </w:tcBorders>
            <w:shd w:val="clear" w:color="000000" w:fill="F2F2F2"/>
            <w:noWrap/>
            <w:vAlign w:val="bottom"/>
            <w:hideMark/>
          </w:tcPr>
          <w:p w14:paraId="222187D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ISS</w:t>
            </w:r>
          </w:p>
        </w:tc>
        <w:tc>
          <w:tcPr>
            <w:tcW w:w="1380" w:type="dxa"/>
            <w:tcBorders>
              <w:top w:val="nil"/>
              <w:left w:val="nil"/>
              <w:bottom w:val="nil"/>
              <w:right w:val="nil"/>
            </w:tcBorders>
            <w:shd w:val="clear" w:color="000000" w:fill="F2F2F2"/>
            <w:noWrap/>
            <w:vAlign w:val="bottom"/>
            <w:hideMark/>
          </w:tcPr>
          <w:p w14:paraId="7B64C08E"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ISS.CO</w:t>
            </w:r>
          </w:p>
        </w:tc>
        <w:tc>
          <w:tcPr>
            <w:tcW w:w="1480" w:type="dxa"/>
            <w:tcBorders>
              <w:top w:val="nil"/>
              <w:left w:val="nil"/>
              <w:bottom w:val="nil"/>
              <w:right w:val="nil"/>
            </w:tcBorders>
            <w:shd w:val="clear" w:color="000000" w:fill="F2F2F2"/>
            <w:noWrap/>
            <w:vAlign w:val="bottom"/>
            <w:hideMark/>
          </w:tcPr>
          <w:p w14:paraId="633C010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8.973</w:t>
            </w:r>
          </w:p>
        </w:tc>
        <w:tc>
          <w:tcPr>
            <w:tcW w:w="300" w:type="dxa"/>
            <w:tcBorders>
              <w:top w:val="nil"/>
              <w:left w:val="nil"/>
              <w:bottom w:val="nil"/>
              <w:right w:val="nil"/>
            </w:tcBorders>
            <w:shd w:val="clear" w:color="auto" w:fill="auto"/>
            <w:noWrap/>
            <w:vAlign w:val="bottom"/>
            <w:hideMark/>
          </w:tcPr>
          <w:p w14:paraId="1000EDC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0EAE723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1.526</w:t>
            </w:r>
          </w:p>
        </w:tc>
        <w:tc>
          <w:tcPr>
            <w:tcW w:w="1380" w:type="dxa"/>
            <w:tcBorders>
              <w:top w:val="nil"/>
              <w:left w:val="nil"/>
              <w:bottom w:val="nil"/>
              <w:right w:val="nil"/>
            </w:tcBorders>
            <w:shd w:val="clear" w:color="000000" w:fill="F2F2F2"/>
            <w:noWrap/>
            <w:vAlign w:val="bottom"/>
            <w:hideMark/>
          </w:tcPr>
          <w:p w14:paraId="555F6A3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1.344</w:t>
            </w:r>
          </w:p>
        </w:tc>
      </w:tr>
      <w:tr w:rsidR="00EC2011" w:rsidRPr="00EC2011" w14:paraId="1E978A0F"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79A0D4C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17</w:t>
            </w:r>
          </w:p>
        </w:tc>
        <w:tc>
          <w:tcPr>
            <w:tcW w:w="2320" w:type="dxa"/>
            <w:tcBorders>
              <w:top w:val="nil"/>
              <w:left w:val="nil"/>
              <w:bottom w:val="nil"/>
              <w:right w:val="nil"/>
            </w:tcBorders>
            <w:shd w:val="clear" w:color="auto" w:fill="auto"/>
            <w:noWrap/>
            <w:vAlign w:val="bottom"/>
            <w:hideMark/>
          </w:tcPr>
          <w:p w14:paraId="2A109FFB"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Bavarian Nordic</w:t>
            </w:r>
          </w:p>
        </w:tc>
        <w:tc>
          <w:tcPr>
            <w:tcW w:w="1380" w:type="dxa"/>
            <w:tcBorders>
              <w:top w:val="nil"/>
              <w:left w:val="nil"/>
              <w:bottom w:val="nil"/>
              <w:right w:val="nil"/>
            </w:tcBorders>
            <w:shd w:val="clear" w:color="auto" w:fill="auto"/>
            <w:noWrap/>
            <w:vAlign w:val="bottom"/>
            <w:hideMark/>
          </w:tcPr>
          <w:p w14:paraId="5AD61C0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BAVA.CO</w:t>
            </w:r>
          </w:p>
        </w:tc>
        <w:tc>
          <w:tcPr>
            <w:tcW w:w="1480" w:type="dxa"/>
            <w:tcBorders>
              <w:top w:val="nil"/>
              <w:left w:val="nil"/>
              <w:bottom w:val="nil"/>
              <w:right w:val="nil"/>
            </w:tcBorders>
            <w:shd w:val="clear" w:color="auto" w:fill="auto"/>
            <w:noWrap/>
            <w:vAlign w:val="bottom"/>
            <w:hideMark/>
          </w:tcPr>
          <w:p w14:paraId="62FEFD9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8.187</w:t>
            </w:r>
          </w:p>
        </w:tc>
        <w:tc>
          <w:tcPr>
            <w:tcW w:w="300" w:type="dxa"/>
            <w:tcBorders>
              <w:top w:val="nil"/>
              <w:left w:val="nil"/>
              <w:bottom w:val="nil"/>
              <w:right w:val="nil"/>
            </w:tcBorders>
            <w:shd w:val="clear" w:color="auto" w:fill="auto"/>
            <w:noWrap/>
            <w:vAlign w:val="bottom"/>
            <w:hideMark/>
          </w:tcPr>
          <w:p w14:paraId="6B53155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6D65BC9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1.479</w:t>
            </w:r>
          </w:p>
        </w:tc>
        <w:tc>
          <w:tcPr>
            <w:tcW w:w="1380" w:type="dxa"/>
            <w:tcBorders>
              <w:top w:val="nil"/>
              <w:left w:val="nil"/>
              <w:bottom w:val="nil"/>
              <w:right w:val="nil"/>
            </w:tcBorders>
            <w:shd w:val="clear" w:color="auto" w:fill="auto"/>
            <w:noWrap/>
            <w:vAlign w:val="bottom"/>
            <w:hideMark/>
          </w:tcPr>
          <w:p w14:paraId="730193F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791</w:t>
            </w:r>
          </w:p>
        </w:tc>
      </w:tr>
      <w:tr w:rsidR="00EC2011" w:rsidRPr="00EC2011" w14:paraId="2C9422F0"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369834F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18</w:t>
            </w:r>
          </w:p>
        </w:tc>
        <w:tc>
          <w:tcPr>
            <w:tcW w:w="2320" w:type="dxa"/>
            <w:tcBorders>
              <w:top w:val="nil"/>
              <w:left w:val="nil"/>
              <w:bottom w:val="nil"/>
              <w:right w:val="nil"/>
            </w:tcBorders>
            <w:shd w:val="clear" w:color="000000" w:fill="F2F2F2"/>
            <w:noWrap/>
            <w:vAlign w:val="bottom"/>
            <w:hideMark/>
          </w:tcPr>
          <w:p w14:paraId="0835E26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Chr. Hansen Holding</w:t>
            </w:r>
          </w:p>
        </w:tc>
        <w:tc>
          <w:tcPr>
            <w:tcW w:w="1380" w:type="dxa"/>
            <w:tcBorders>
              <w:top w:val="nil"/>
              <w:left w:val="nil"/>
              <w:bottom w:val="nil"/>
              <w:right w:val="nil"/>
            </w:tcBorders>
            <w:shd w:val="clear" w:color="000000" w:fill="F2F2F2"/>
            <w:noWrap/>
            <w:vAlign w:val="bottom"/>
            <w:hideMark/>
          </w:tcPr>
          <w:p w14:paraId="163BFD2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CHR.CO</w:t>
            </w:r>
          </w:p>
        </w:tc>
        <w:tc>
          <w:tcPr>
            <w:tcW w:w="1480" w:type="dxa"/>
            <w:tcBorders>
              <w:top w:val="nil"/>
              <w:left w:val="nil"/>
              <w:bottom w:val="nil"/>
              <w:right w:val="nil"/>
            </w:tcBorders>
            <w:shd w:val="clear" w:color="000000" w:fill="F2F2F2"/>
            <w:noWrap/>
            <w:vAlign w:val="bottom"/>
            <w:hideMark/>
          </w:tcPr>
          <w:p w14:paraId="166BE30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7.795</w:t>
            </w:r>
          </w:p>
        </w:tc>
        <w:tc>
          <w:tcPr>
            <w:tcW w:w="300" w:type="dxa"/>
            <w:tcBorders>
              <w:top w:val="nil"/>
              <w:left w:val="nil"/>
              <w:bottom w:val="nil"/>
              <w:right w:val="nil"/>
            </w:tcBorders>
            <w:shd w:val="clear" w:color="auto" w:fill="auto"/>
            <w:noWrap/>
            <w:vAlign w:val="bottom"/>
            <w:hideMark/>
          </w:tcPr>
          <w:p w14:paraId="43F0D11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08933C6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1.344</w:t>
            </w:r>
          </w:p>
        </w:tc>
        <w:tc>
          <w:tcPr>
            <w:tcW w:w="1380" w:type="dxa"/>
            <w:tcBorders>
              <w:top w:val="nil"/>
              <w:left w:val="nil"/>
              <w:bottom w:val="nil"/>
              <w:right w:val="nil"/>
            </w:tcBorders>
            <w:shd w:val="clear" w:color="000000" w:fill="F2F2F2"/>
            <w:noWrap/>
            <w:vAlign w:val="bottom"/>
            <w:hideMark/>
          </w:tcPr>
          <w:p w14:paraId="137FE58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1.075</w:t>
            </w:r>
          </w:p>
        </w:tc>
      </w:tr>
      <w:tr w:rsidR="00EC2011" w:rsidRPr="00EC2011" w14:paraId="154FFE2A"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4A0D16F2"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19</w:t>
            </w:r>
          </w:p>
        </w:tc>
        <w:tc>
          <w:tcPr>
            <w:tcW w:w="2320" w:type="dxa"/>
            <w:tcBorders>
              <w:top w:val="nil"/>
              <w:left w:val="nil"/>
              <w:bottom w:val="nil"/>
              <w:right w:val="nil"/>
            </w:tcBorders>
            <w:shd w:val="clear" w:color="auto" w:fill="auto"/>
            <w:noWrap/>
            <w:vAlign w:val="bottom"/>
            <w:hideMark/>
          </w:tcPr>
          <w:p w14:paraId="73361FD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Jyske Bank A/S</w:t>
            </w:r>
          </w:p>
        </w:tc>
        <w:tc>
          <w:tcPr>
            <w:tcW w:w="1380" w:type="dxa"/>
            <w:tcBorders>
              <w:top w:val="nil"/>
              <w:left w:val="nil"/>
              <w:bottom w:val="nil"/>
              <w:right w:val="nil"/>
            </w:tcBorders>
            <w:shd w:val="clear" w:color="auto" w:fill="auto"/>
            <w:noWrap/>
            <w:vAlign w:val="bottom"/>
            <w:hideMark/>
          </w:tcPr>
          <w:p w14:paraId="7E71A5AB"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JYSK.CO</w:t>
            </w:r>
          </w:p>
        </w:tc>
        <w:tc>
          <w:tcPr>
            <w:tcW w:w="1480" w:type="dxa"/>
            <w:tcBorders>
              <w:top w:val="nil"/>
              <w:left w:val="nil"/>
              <w:bottom w:val="nil"/>
              <w:right w:val="nil"/>
            </w:tcBorders>
            <w:shd w:val="clear" w:color="auto" w:fill="auto"/>
            <w:noWrap/>
            <w:vAlign w:val="bottom"/>
            <w:hideMark/>
          </w:tcPr>
          <w:p w14:paraId="68ED947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7.117</w:t>
            </w:r>
          </w:p>
        </w:tc>
        <w:tc>
          <w:tcPr>
            <w:tcW w:w="300" w:type="dxa"/>
            <w:tcBorders>
              <w:top w:val="nil"/>
              <w:left w:val="nil"/>
              <w:bottom w:val="nil"/>
              <w:right w:val="nil"/>
            </w:tcBorders>
            <w:shd w:val="clear" w:color="auto" w:fill="auto"/>
            <w:noWrap/>
            <w:vAlign w:val="bottom"/>
            <w:hideMark/>
          </w:tcPr>
          <w:p w14:paraId="7D65A977"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40232D52"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1.222</w:t>
            </w:r>
          </w:p>
        </w:tc>
        <w:tc>
          <w:tcPr>
            <w:tcW w:w="1380" w:type="dxa"/>
            <w:tcBorders>
              <w:top w:val="nil"/>
              <w:left w:val="nil"/>
              <w:bottom w:val="nil"/>
              <w:right w:val="nil"/>
            </w:tcBorders>
            <w:shd w:val="clear" w:color="auto" w:fill="auto"/>
            <w:noWrap/>
            <w:vAlign w:val="bottom"/>
            <w:hideMark/>
          </w:tcPr>
          <w:p w14:paraId="208E7CA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1.007</w:t>
            </w:r>
          </w:p>
        </w:tc>
      </w:tr>
      <w:tr w:rsidR="00EC2011" w:rsidRPr="00EC2011" w14:paraId="5A5BC74A"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38D6444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20</w:t>
            </w:r>
          </w:p>
        </w:tc>
        <w:tc>
          <w:tcPr>
            <w:tcW w:w="2320" w:type="dxa"/>
            <w:tcBorders>
              <w:top w:val="nil"/>
              <w:left w:val="nil"/>
              <w:bottom w:val="nil"/>
              <w:right w:val="nil"/>
            </w:tcBorders>
            <w:shd w:val="clear" w:color="000000" w:fill="F2F2F2"/>
            <w:noWrap/>
            <w:vAlign w:val="bottom"/>
            <w:hideMark/>
          </w:tcPr>
          <w:p w14:paraId="0F0672B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Zealand Pharma</w:t>
            </w:r>
          </w:p>
        </w:tc>
        <w:tc>
          <w:tcPr>
            <w:tcW w:w="1380" w:type="dxa"/>
            <w:tcBorders>
              <w:top w:val="nil"/>
              <w:left w:val="nil"/>
              <w:bottom w:val="nil"/>
              <w:right w:val="nil"/>
            </w:tcBorders>
            <w:shd w:val="clear" w:color="000000" w:fill="F2F2F2"/>
            <w:noWrap/>
            <w:vAlign w:val="bottom"/>
            <w:hideMark/>
          </w:tcPr>
          <w:p w14:paraId="056CD52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ZEAL.CO</w:t>
            </w:r>
          </w:p>
        </w:tc>
        <w:tc>
          <w:tcPr>
            <w:tcW w:w="1480" w:type="dxa"/>
            <w:tcBorders>
              <w:top w:val="nil"/>
              <w:left w:val="nil"/>
              <w:bottom w:val="nil"/>
              <w:right w:val="nil"/>
            </w:tcBorders>
            <w:shd w:val="clear" w:color="000000" w:fill="F2F2F2"/>
            <w:noWrap/>
            <w:vAlign w:val="bottom"/>
            <w:hideMark/>
          </w:tcPr>
          <w:p w14:paraId="3B39920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7.105</w:t>
            </w:r>
          </w:p>
        </w:tc>
        <w:tc>
          <w:tcPr>
            <w:tcW w:w="300" w:type="dxa"/>
            <w:tcBorders>
              <w:top w:val="nil"/>
              <w:left w:val="nil"/>
              <w:bottom w:val="nil"/>
              <w:right w:val="nil"/>
            </w:tcBorders>
            <w:shd w:val="clear" w:color="auto" w:fill="auto"/>
            <w:noWrap/>
            <w:vAlign w:val="bottom"/>
            <w:hideMark/>
          </w:tcPr>
          <w:p w14:paraId="2AA503F8"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1796159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1.268</w:t>
            </w:r>
          </w:p>
        </w:tc>
        <w:tc>
          <w:tcPr>
            <w:tcW w:w="1380" w:type="dxa"/>
            <w:tcBorders>
              <w:top w:val="nil"/>
              <w:left w:val="nil"/>
              <w:bottom w:val="nil"/>
              <w:right w:val="nil"/>
            </w:tcBorders>
            <w:shd w:val="clear" w:color="000000" w:fill="F2F2F2"/>
            <w:noWrap/>
            <w:vAlign w:val="bottom"/>
            <w:hideMark/>
          </w:tcPr>
          <w:p w14:paraId="73C7FDA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763</w:t>
            </w:r>
          </w:p>
        </w:tc>
      </w:tr>
      <w:tr w:rsidR="00EC2011" w:rsidRPr="00EC2011" w14:paraId="128EDE47"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0DF93C06"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21</w:t>
            </w:r>
          </w:p>
        </w:tc>
        <w:tc>
          <w:tcPr>
            <w:tcW w:w="2320" w:type="dxa"/>
            <w:tcBorders>
              <w:top w:val="nil"/>
              <w:left w:val="nil"/>
              <w:bottom w:val="nil"/>
              <w:right w:val="nil"/>
            </w:tcBorders>
            <w:shd w:val="clear" w:color="auto" w:fill="auto"/>
            <w:noWrap/>
            <w:vAlign w:val="bottom"/>
            <w:hideMark/>
          </w:tcPr>
          <w:p w14:paraId="2D80795D" w14:textId="77777777" w:rsidR="00EC2011" w:rsidRPr="00EC2011" w:rsidRDefault="00EC2011" w:rsidP="00EC2011">
            <w:pPr>
              <w:spacing w:after="0" w:line="240" w:lineRule="auto"/>
              <w:rPr>
                <w:rFonts w:ascii="Calibri" w:eastAsia="Times New Roman" w:hAnsi="Calibri" w:cs="Calibri"/>
                <w:color w:val="000000"/>
                <w:sz w:val="20"/>
                <w:szCs w:val="20"/>
                <w:lang w:val="en-US" w:eastAsia="da-DK"/>
              </w:rPr>
            </w:pPr>
            <w:r w:rsidRPr="00EC2011">
              <w:rPr>
                <w:rFonts w:ascii="Calibri" w:eastAsia="Times New Roman" w:hAnsi="Calibri" w:cs="Calibri"/>
                <w:color w:val="000000"/>
                <w:sz w:val="20"/>
                <w:szCs w:val="20"/>
                <w:lang w:val="en-US" w:eastAsia="da-DK"/>
              </w:rPr>
              <w:t>Rockwool A/S ser. B</w:t>
            </w:r>
          </w:p>
        </w:tc>
        <w:tc>
          <w:tcPr>
            <w:tcW w:w="1380" w:type="dxa"/>
            <w:tcBorders>
              <w:top w:val="nil"/>
              <w:left w:val="nil"/>
              <w:bottom w:val="nil"/>
              <w:right w:val="nil"/>
            </w:tcBorders>
            <w:shd w:val="clear" w:color="auto" w:fill="auto"/>
            <w:noWrap/>
            <w:vAlign w:val="bottom"/>
            <w:hideMark/>
          </w:tcPr>
          <w:p w14:paraId="34BCADB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ROCK-B.CO</w:t>
            </w:r>
          </w:p>
        </w:tc>
        <w:tc>
          <w:tcPr>
            <w:tcW w:w="1480" w:type="dxa"/>
            <w:tcBorders>
              <w:top w:val="nil"/>
              <w:left w:val="nil"/>
              <w:bottom w:val="nil"/>
              <w:right w:val="nil"/>
            </w:tcBorders>
            <w:shd w:val="clear" w:color="auto" w:fill="auto"/>
            <w:noWrap/>
            <w:vAlign w:val="bottom"/>
            <w:hideMark/>
          </w:tcPr>
          <w:p w14:paraId="45602F0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6.768</w:t>
            </w:r>
          </w:p>
        </w:tc>
        <w:tc>
          <w:tcPr>
            <w:tcW w:w="300" w:type="dxa"/>
            <w:tcBorders>
              <w:top w:val="nil"/>
              <w:left w:val="nil"/>
              <w:bottom w:val="nil"/>
              <w:right w:val="nil"/>
            </w:tcBorders>
            <w:shd w:val="clear" w:color="auto" w:fill="auto"/>
            <w:noWrap/>
            <w:vAlign w:val="bottom"/>
            <w:hideMark/>
          </w:tcPr>
          <w:p w14:paraId="15F8DD3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074B26E7"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1.231</w:t>
            </w:r>
          </w:p>
        </w:tc>
        <w:tc>
          <w:tcPr>
            <w:tcW w:w="1380" w:type="dxa"/>
            <w:tcBorders>
              <w:top w:val="nil"/>
              <w:left w:val="nil"/>
              <w:bottom w:val="nil"/>
              <w:right w:val="nil"/>
            </w:tcBorders>
            <w:shd w:val="clear" w:color="auto" w:fill="auto"/>
            <w:noWrap/>
            <w:vAlign w:val="bottom"/>
            <w:hideMark/>
          </w:tcPr>
          <w:p w14:paraId="69202DE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615</w:t>
            </w:r>
          </w:p>
        </w:tc>
      </w:tr>
      <w:tr w:rsidR="00EC2011" w:rsidRPr="00EC2011" w14:paraId="24199539"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0DF202F7"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22</w:t>
            </w:r>
          </w:p>
        </w:tc>
        <w:tc>
          <w:tcPr>
            <w:tcW w:w="2320" w:type="dxa"/>
            <w:tcBorders>
              <w:top w:val="nil"/>
              <w:left w:val="nil"/>
              <w:bottom w:val="nil"/>
              <w:right w:val="nil"/>
            </w:tcBorders>
            <w:shd w:val="clear" w:color="000000" w:fill="F2F2F2"/>
            <w:noWrap/>
            <w:vAlign w:val="bottom"/>
            <w:hideMark/>
          </w:tcPr>
          <w:p w14:paraId="186887E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Ambu B</w:t>
            </w:r>
          </w:p>
        </w:tc>
        <w:tc>
          <w:tcPr>
            <w:tcW w:w="1380" w:type="dxa"/>
            <w:tcBorders>
              <w:top w:val="nil"/>
              <w:left w:val="nil"/>
              <w:bottom w:val="nil"/>
              <w:right w:val="nil"/>
            </w:tcBorders>
            <w:shd w:val="clear" w:color="000000" w:fill="F2F2F2"/>
            <w:noWrap/>
            <w:vAlign w:val="bottom"/>
            <w:hideMark/>
          </w:tcPr>
          <w:p w14:paraId="7D32C8B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AMBU-B.CO</w:t>
            </w:r>
          </w:p>
        </w:tc>
        <w:tc>
          <w:tcPr>
            <w:tcW w:w="1480" w:type="dxa"/>
            <w:tcBorders>
              <w:top w:val="nil"/>
              <w:left w:val="nil"/>
              <w:bottom w:val="nil"/>
              <w:right w:val="nil"/>
            </w:tcBorders>
            <w:shd w:val="clear" w:color="000000" w:fill="F2F2F2"/>
            <w:noWrap/>
            <w:vAlign w:val="bottom"/>
            <w:hideMark/>
          </w:tcPr>
          <w:p w14:paraId="204BE55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6.621</w:t>
            </w:r>
          </w:p>
        </w:tc>
        <w:tc>
          <w:tcPr>
            <w:tcW w:w="300" w:type="dxa"/>
            <w:tcBorders>
              <w:top w:val="nil"/>
              <w:left w:val="nil"/>
              <w:bottom w:val="nil"/>
              <w:right w:val="nil"/>
            </w:tcBorders>
            <w:shd w:val="clear" w:color="auto" w:fill="auto"/>
            <w:noWrap/>
            <w:vAlign w:val="bottom"/>
            <w:hideMark/>
          </w:tcPr>
          <w:p w14:paraId="1AAAC71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24A3F6C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1.136</w:t>
            </w:r>
          </w:p>
        </w:tc>
        <w:tc>
          <w:tcPr>
            <w:tcW w:w="1380" w:type="dxa"/>
            <w:tcBorders>
              <w:top w:val="nil"/>
              <w:left w:val="nil"/>
              <w:bottom w:val="nil"/>
              <w:right w:val="nil"/>
            </w:tcBorders>
            <w:shd w:val="clear" w:color="000000" w:fill="F2F2F2"/>
            <w:noWrap/>
            <w:vAlign w:val="bottom"/>
            <w:hideMark/>
          </w:tcPr>
          <w:p w14:paraId="413EDFB9"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943</w:t>
            </w:r>
          </w:p>
        </w:tc>
      </w:tr>
      <w:tr w:rsidR="00EC2011" w:rsidRPr="00EC2011" w14:paraId="4E5FBA5D"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047E7D7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23</w:t>
            </w:r>
          </w:p>
        </w:tc>
        <w:tc>
          <w:tcPr>
            <w:tcW w:w="2320" w:type="dxa"/>
            <w:tcBorders>
              <w:top w:val="nil"/>
              <w:left w:val="nil"/>
              <w:bottom w:val="nil"/>
              <w:right w:val="nil"/>
            </w:tcBorders>
            <w:shd w:val="clear" w:color="auto" w:fill="auto"/>
            <w:noWrap/>
            <w:vAlign w:val="bottom"/>
            <w:hideMark/>
          </w:tcPr>
          <w:p w14:paraId="039FAB8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Nordea Bank Abp</w:t>
            </w:r>
          </w:p>
        </w:tc>
        <w:tc>
          <w:tcPr>
            <w:tcW w:w="1380" w:type="dxa"/>
            <w:tcBorders>
              <w:top w:val="nil"/>
              <w:left w:val="nil"/>
              <w:bottom w:val="nil"/>
              <w:right w:val="nil"/>
            </w:tcBorders>
            <w:shd w:val="clear" w:color="auto" w:fill="auto"/>
            <w:noWrap/>
            <w:vAlign w:val="bottom"/>
            <w:hideMark/>
          </w:tcPr>
          <w:p w14:paraId="1F83179B"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NDA-DK.CO</w:t>
            </w:r>
          </w:p>
        </w:tc>
        <w:tc>
          <w:tcPr>
            <w:tcW w:w="1480" w:type="dxa"/>
            <w:tcBorders>
              <w:top w:val="nil"/>
              <w:left w:val="nil"/>
              <w:bottom w:val="nil"/>
              <w:right w:val="nil"/>
            </w:tcBorders>
            <w:shd w:val="clear" w:color="auto" w:fill="auto"/>
            <w:noWrap/>
            <w:vAlign w:val="bottom"/>
            <w:hideMark/>
          </w:tcPr>
          <w:p w14:paraId="032D617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6.505</w:t>
            </w:r>
          </w:p>
        </w:tc>
        <w:tc>
          <w:tcPr>
            <w:tcW w:w="300" w:type="dxa"/>
            <w:tcBorders>
              <w:top w:val="nil"/>
              <w:left w:val="nil"/>
              <w:bottom w:val="nil"/>
              <w:right w:val="nil"/>
            </w:tcBorders>
            <w:shd w:val="clear" w:color="auto" w:fill="auto"/>
            <w:noWrap/>
            <w:vAlign w:val="bottom"/>
            <w:hideMark/>
          </w:tcPr>
          <w:p w14:paraId="7EFFCE2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36942DB9"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1.211</w:t>
            </w:r>
          </w:p>
        </w:tc>
        <w:tc>
          <w:tcPr>
            <w:tcW w:w="1380" w:type="dxa"/>
            <w:tcBorders>
              <w:top w:val="nil"/>
              <w:left w:val="nil"/>
              <w:bottom w:val="nil"/>
              <w:right w:val="nil"/>
            </w:tcBorders>
            <w:shd w:val="clear" w:color="auto" w:fill="auto"/>
            <w:noWrap/>
            <w:vAlign w:val="bottom"/>
            <w:hideMark/>
          </w:tcPr>
          <w:p w14:paraId="6DAAD950"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452</w:t>
            </w:r>
          </w:p>
        </w:tc>
      </w:tr>
      <w:tr w:rsidR="00EC2011" w:rsidRPr="00EC2011" w14:paraId="0B9907B0"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497D55A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24</w:t>
            </w:r>
          </w:p>
        </w:tc>
        <w:tc>
          <w:tcPr>
            <w:tcW w:w="2320" w:type="dxa"/>
            <w:tcBorders>
              <w:top w:val="nil"/>
              <w:left w:val="nil"/>
              <w:bottom w:val="nil"/>
              <w:right w:val="nil"/>
            </w:tcBorders>
            <w:shd w:val="clear" w:color="000000" w:fill="F2F2F2"/>
            <w:noWrap/>
            <w:vAlign w:val="bottom"/>
            <w:hideMark/>
          </w:tcPr>
          <w:p w14:paraId="684AE52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NKT A/S</w:t>
            </w:r>
          </w:p>
        </w:tc>
        <w:tc>
          <w:tcPr>
            <w:tcW w:w="1380" w:type="dxa"/>
            <w:tcBorders>
              <w:top w:val="nil"/>
              <w:left w:val="nil"/>
              <w:bottom w:val="nil"/>
              <w:right w:val="nil"/>
            </w:tcBorders>
            <w:shd w:val="clear" w:color="000000" w:fill="F2F2F2"/>
            <w:noWrap/>
            <w:vAlign w:val="bottom"/>
            <w:hideMark/>
          </w:tcPr>
          <w:p w14:paraId="1C458640"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NKT.CO</w:t>
            </w:r>
          </w:p>
        </w:tc>
        <w:tc>
          <w:tcPr>
            <w:tcW w:w="1480" w:type="dxa"/>
            <w:tcBorders>
              <w:top w:val="nil"/>
              <w:left w:val="nil"/>
              <w:bottom w:val="nil"/>
              <w:right w:val="nil"/>
            </w:tcBorders>
            <w:shd w:val="clear" w:color="000000" w:fill="F2F2F2"/>
            <w:noWrap/>
            <w:vAlign w:val="bottom"/>
            <w:hideMark/>
          </w:tcPr>
          <w:p w14:paraId="323BF581"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6.215</w:t>
            </w:r>
          </w:p>
        </w:tc>
        <w:tc>
          <w:tcPr>
            <w:tcW w:w="300" w:type="dxa"/>
            <w:tcBorders>
              <w:top w:val="nil"/>
              <w:left w:val="nil"/>
              <w:bottom w:val="nil"/>
              <w:right w:val="nil"/>
            </w:tcBorders>
            <w:shd w:val="clear" w:color="auto" w:fill="auto"/>
            <w:noWrap/>
            <w:vAlign w:val="bottom"/>
            <w:hideMark/>
          </w:tcPr>
          <w:p w14:paraId="41462EC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3C7E5F9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1.087</w:t>
            </w:r>
          </w:p>
        </w:tc>
        <w:tc>
          <w:tcPr>
            <w:tcW w:w="1380" w:type="dxa"/>
            <w:tcBorders>
              <w:top w:val="nil"/>
              <w:left w:val="nil"/>
              <w:bottom w:val="nil"/>
              <w:right w:val="nil"/>
            </w:tcBorders>
            <w:shd w:val="clear" w:color="000000" w:fill="F2F2F2"/>
            <w:noWrap/>
            <w:vAlign w:val="bottom"/>
            <w:hideMark/>
          </w:tcPr>
          <w:p w14:paraId="5726EE8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781</w:t>
            </w:r>
          </w:p>
        </w:tc>
      </w:tr>
      <w:tr w:rsidR="00EC2011" w:rsidRPr="00EC2011" w14:paraId="49F9C460" w14:textId="77777777" w:rsidTr="00EC2011">
        <w:trPr>
          <w:trHeight w:val="255"/>
        </w:trPr>
        <w:tc>
          <w:tcPr>
            <w:tcW w:w="840" w:type="dxa"/>
            <w:tcBorders>
              <w:top w:val="nil"/>
              <w:left w:val="nil"/>
              <w:bottom w:val="single" w:sz="4" w:space="0" w:color="auto"/>
              <w:right w:val="single" w:sz="4" w:space="0" w:color="auto"/>
            </w:tcBorders>
            <w:shd w:val="clear" w:color="auto" w:fill="auto"/>
            <w:noWrap/>
            <w:vAlign w:val="bottom"/>
            <w:hideMark/>
          </w:tcPr>
          <w:p w14:paraId="08C8943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25</w:t>
            </w:r>
          </w:p>
        </w:tc>
        <w:tc>
          <w:tcPr>
            <w:tcW w:w="2320" w:type="dxa"/>
            <w:tcBorders>
              <w:top w:val="nil"/>
              <w:left w:val="nil"/>
              <w:bottom w:val="single" w:sz="4" w:space="0" w:color="auto"/>
              <w:right w:val="nil"/>
            </w:tcBorders>
            <w:shd w:val="clear" w:color="auto" w:fill="auto"/>
            <w:noWrap/>
            <w:vAlign w:val="bottom"/>
            <w:hideMark/>
          </w:tcPr>
          <w:p w14:paraId="11EB2BC5"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Royal UNIBREW</w:t>
            </w:r>
          </w:p>
        </w:tc>
        <w:tc>
          <w:tcPr>
            <w:tcW w:w="1380" w:type="dxa"/>
            <w:tcBorders>
              <w:top w:val="nil"/>
              <w:left w:val="nil"/>
              <w:bottom w:val="single" w:sz="4" w:space="0" w:color="auto"/>
              <w:right w:val="nil"/>
            </w:tcBorders>
            <w:shd w:val="clear" w:color="auto" w:fill="auto"/>
            <w:noWrap/>
            <w:vAlign w:val="bottom"/>
            <w:hideMark/>
          </w:tcPr>
          <w:p w14:paraId="05FAEEF9"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RBREW.CO</w:t>
            </w:r>
          </w:p>
        </w:tc>
        <w:tc>
          <w:tcPr>
            <w:tcW w:w="1480" w:type="dxa"/>
            <w:tcBorders>
              <w:top w:val="nil"/>
              <w:left w:val="nil"/>
              <w:bottom w:val="single" w:sz="4" w:space="0" w:color="auto"/>
              <w:right w:val="nil"/>
            </w:tcBorders>
            <w:shd w:val="clear" w:color="auto" w:fill="auto"/>
            <w:noWrap/>
            <w:vAlign w:val="bottom"/>
            <w:hideMark/>
          </w:tcPr>
          <w:p w14:paraId="06AE8819"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6.167</w:t>
            </w:r>
          </w:p>
        </w:tc>
        <w:tc>
          <w:tcPr>
            <w:tcW w:w="300" w:type="dxa"/>
            <w:tcBorders>
              <w:top w:val="nil"/>
              <w:left w:val="nil"/>
              <w:bottom w:val="nil"/>
              <w:right w:val="nil"/>
            </w:tcBorders>
            <w:shd w:val="clear" w:color="auto" w:fill="auto"/>
            <w:noWrap/>
            <w:vAlign w:val="bottom"/>
            <w:hideMark/>
          </w:tcPr>
          <w:p w14:paraId="70A7DF0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single" w:sz="4" w:space="0" w:color="auto"/>
              <w:right w:val="nil"/>
            </w:tcBorders>
            <w:shd w:val="clear" w:color="auto" w:fill="auto"/>
            <w:noWrap/>
            <w:vAlign w:val="bottom"/>
            <w:hideMark/>
          </w:tcPr>
          <w:p w14:paraId="7324E9D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1.025</w:t>
            </w:r>
          </w:p>
        </w:tc>
        <w:tc>
          <w:tcPr>
            <w:tcW w:w="1380" w:type="dxa"/>
            <w:tcBorders>
              <w:top w:val="nil"/>
              <w:left w:val="nil"/>
              <w:bottom w:val="single" w:sz="4" w:space="0" w:color="auto"/>
              <w:right w:val="nil"/>
            </w:tcBorders>
            <w:shd w:val="clear" w:color="auto" w:fill="auto"/>
            <w:noWrap/>
            <w:vAlign w:val="bottom"/>
            <w:hideMark/>
          </w:tcPr>
          <w:p w14:paraId="6A2C8BB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1.042</w:t>
            </w:r>
          </w:p>
        </w:tc>
      </w:tr>
      <w:tr w:rsidR="00EC2011" w:rsidRPr="00EC2011" w14:paraId="5809F514"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0DEF743D"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26</w:t>
            </w:r>
          </w:p>
        </w:tc>
        <w:tc>
          <w:tcPr>
            <w:tcW w:w="2320" w:type="dxa"/>
            <w:tcBorders>
              <w:top w:val="nil"/>
              <w:left w:val="nil"/>
              <w:bottom w:val="nil"/>
              <w:right w:val="nil"/>
            </w:tcBorders>
            <w:shd w:val="clear" w:color="000000" w:fill="F2F2F2"/>
            <w:noWrap/>
            <w:vAlign w:val="bottom"/>
            <w:hideMark/>
          </w:tcPr>
          <w:p w14:paraId="364B0813"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FLSmidth &amp; Co.</w:t>
            </w:r>
          </w:p>
        </w:tc>
        <w:tc>
          <w:tcPr>
            <w:tcW w:w="1380" w:type="dxa"/>
            <w:tcBorders>
              <w:top w:val="nil"/>
              <w:left w:val="nil"/>
              <w:bottom w:val="nil"/>
              <w:right w:val="nil"/>
            </w:tcBorders>
            <w:shd w:val="clear" w:color="000000" w:fill="F2F2F2"/>
            <w:noWrap/>
            <w:vAlign w:val="bottom"/>
            <w:hideMark/>
          </w:tcPr>
          <w:p w14:paraId="7781986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FLS.CO</w:t>
            </w:r>
          </w:p>
        </w:tc>
        <w:tc>
          <w:tcPr>
            <w:tcW w:w="1480" w:type="dxa"/>
            <w:tcBorders>
              <w:top w:val="nil"/>
              <w:left w:val="nil"/>
              <w:bottom w:val="nil"/>
              <w:right w:val="nil"/>
            </w:tcBorders>
            <w:shd w:val="clear" w:color="000000" w:fill="F2F2F2"/>
            <w:noWrap/>
            <w:vAlign w:val="bottom"/>
            <w:hideMark/>
          </w:tcPr>
          <w:p w14:paraId="41C120B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5.082</w:t>
            </w:r>
          </w:p>
        </w:tc>
        <w:tc>
          <w:tcPr>
            <w:tcW w:w="300" w:type="dxa"/>
            <w:tcBorders>
              <w:top w:val="nil"/>
              <w:left w:val="nil"/>
              <w:bottom w:val="nil"/>
              <w:right w:val="nil"/>
            </w:tcBorders>
            <w:shd w:val="clear" w:color="auto" w:fill="auto"/>
            <w:noWrap/>
            <w:vAlign w:val="bottom"/>
            <w:hideMark/>
          </w:tcPr>
          <w:p w14:paraId="29107F85"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78F8DAE5"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909</w:t>
            </w:r>
          </w:p>
        </w:tc>
        <w:tc>
          <w:tcPr>
            <w:tcW w:w="1380" w:type="dxa"/>
            <w:tcBorders>
              <w:top w:val="nil"/>
              <w:left w:val="nil"/>
              <w:bottom w:val="nil"/>
              <w:right w:val="nil"/>
            </w:tcBorders>
            <w:shd w:val="clear" w:color="000000" w:fill="F2F2F2"/>
            <w:noWrap/>
            <w:vAlign w:val="bottom"/>
            <w:hideMark/>
          </w:tcPr>
          <w:p w14:paraId="7DF26B43"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538</w:t>
            </w:r>
          </w:p>
        </w:tc>
      </w:tr>
      <w:tr w:rsidR="00EC2011" w:rsidRPr="00EC2011" w14:paraId="10DF4086"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110BF75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27</w:t>
            </w:r>
          </w:p>
        </w:tc>
        <w:tc>
          <w:tcPr>
            <w:tcW w:w="2320" w:type="dxa"/>
            <w:tcBorders>
              <w:top w:val="nil"/>
              <w:left w:val="nil"/>
              <w:bottom w:val="nil"/>
              <w:right w:val="nil"/>
            </w:tcBorders>
            <w:shd w:val="clear" w:color="auto" w:fill="auto"/>
            <w:noWrap/>
            <w:vAlign w:val="bottom"/>
            <w:hideMark/>
          </w:tcPr>
          <w:p w14:paraId="131C1D0C"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Netcompany Group A/S</w:t>
            </w:r>
          </w:p>
        </w:tc>
        <w:tc>
          <w:tcPr>
            <w:tcW w:w="1380" w:type="dxa"/>
            <w:tcBorders>
              <w:top w:val="nil"/>
              <w:left w:val="nil"/>
              <w:bottom w:val="nil"/>
              <w:right w:val="nil"/>
            </w:tcBorders>
            <w:shd w:val="clear" w:color="auto" w:fill="auto"/>
            <w:noWrap/>
            <w:vAlign w:val="bottom"/>
            <w:hideMark/>
          </w:tcPr>
          <w:p w14:paraId="38930C6F"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NETC.CO</w:t>
            </w:r>
          </w:p>
        </w:tc>
        <w:tc>
          <w:tcPr>
            <w:tcW w:w="1480" w:type="dxa"/>
            <w:tcBorders>
              <w:top w:val="nil"/>
              <w:left w:val="nil"/>
              <w:bottom w:val="nil"/>
              <w:right w:val="nil"/>
            </w:tcBorders>
            <w:shd w:val="clear" w:color="auto" w:fill="auto"/>
            <w:noWrap/>
            <w:vAlign w:val="bottom"/>
            <w:hideMark/>
          </w:tcPr>
          <w:p w14:paraId="7C50C53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4.860</w:t>
            </w:r>
          </w:p>
        </w:tc>
        <w:tc>
          <w:tcPr>
            <w:tcW w:w="300" w:type="dxa"/>
            <w:tcBorders>
              <w:top w:val="nil"/>
              <w:left w:val="nil"/>
              <w:bottom w:val="nil"/>
              <w:right w:val="nil"/>
            </w:tcBorders>
            <w:shd w:val="clear" w:color="auto" w:fill="auto"/>
            <w:noWrap/>
            <w:vAlign w:val="bottom"/>
            <w:hideMark/>
          </w:tcPr>
          <w:p w14:paraId="41AA55A6"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3EA4A197"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814</w:t>
            </w:r>
          </w:p>
        </w:tc>
        <w:tc>
          <w:tcPr>
            <w:tcW w:w="1380" w:type="dxa"/>
            <w:tcBorders>
              <w:top w:val="nil"/>
              <w:left w:val="nil"/>
              <w:bottom w:val="nil"/>
              <w:right w:val="nil"/>
            </w:tcBorders>
            <w:shd w:val="clear" w:color="auto" w:fill="auto"/>
            <w:noWrap/>
            <w:vAlign w:val="bottom"/>
            <w:hideMark/>
          </w:tcPr>
          <w:p w14:paraId="4CD7E0F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790</w:t>
            </w:r>
          </w:p>
        </w:tc>
      </w:tr>
      <w:tr w:rsidR="00EC2011" w:rsidRPr="00EC2011" w14:paraId="662FD3F5" w14:textId="77777777" w:rsidTr="00EC2011">
        <w:trPr>
          <w:trHeight w:val="255"/>
        </w:trPr>
        <w:tc>
          <w:tcPr>
            <w:tcW w:w="840" w:type="dxa"/>
            <w:tcBorders>
              <w:top w:val="nil"/>
              <w:left w:val="nil"/>
              <w:bottom w:val="nil"/>
              <w:right w:val="single" w:sz="4" w:space="0" w:color="auto"/>
            </w:tcBorders>
            <w:shd w:val="clear" w:color="000000" w:fill="F2F2F2"/>
            <w:noWrap/>
            <w:vAlign w:val="bottom"/>
            <w:hideMark/>
          </w:tcPr>
          <w:p w14:paraId="5FBB1CC2"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28</w:t>
            </w:r>
          </w:p>
        </w:tc>
        <w:tc>
          <w:tcPr>
            <w:tcW w:w="2320" w:type="dxa"/>
            <w:tcBorders>
              <w:top w:val="nil"/>
              <w:left w:val="nil"/>
              <w:bottom w:val="nil"/>
              <w:right w:val="nil"/>
            </w:tcBorders>
            <w:shd w:val="clear" w:color="000000" w:fill="F2F2F2"/>
            <w:noWrap/>
            <w:vAlign w:val="bottom"/>
            <w:hideMark/>
          </w:tcPr>
          <w:p w14:paraId="284B34A4"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proofErr w:type="gramStart"/>
            <w:r w:rsidRPr="00EC2011">
              <w:rPr>
                <w:rFonts w:ascii="Calibri" w:eastAsia="Times New Roman" w:hAnsi="Calibri" w:cs="Calibri"/>
                <w:color w:val="000000"/>
                <w:sz w:val="20"/>
                <w:szCs w:val="20"/>
                <w:lang w:val="da-DK" w:eastAsia="da-DK"/>
              </w:rPr>
              <w:t>TORM plc</w:t>
            </w:r>
            <w:proofErr w:type="gramEnd"/>
            <w:r w:rsidRPr="00EC2011">
              <w:rPr>
                <w:rFonts w:ascii="Calibri" w:eastAsia="Times New Roman" w:hAnsi="Calibri" w:cs="Calibri"/>
                <w:color w:val="000000"/>
                <w:sz w:val="20"/>
                <w:szCs w:val="20"/>
                <w:lang w:val="da-DK" w:eastAsia="da-DK"/>
              </w:rPr>
              <w:t xml:space="preserve"> A</w:t>
            </w:r>
          </w:p>
        </w:tc>
        <w:tc>
          <w:tcPr>
            <w:tcW w:w="1380" w:type="dxa"/>
            <w:tcBorders>
              <w:top w:val="nil"/>
              <w:left w:val="nil"/>
              <w:bottom w:val="nil"/>
              <w:right w:val="nil"/>
            </w:tcBorders>
            <w:shd w:val="clear" w:color="000000" w:fill="F2F2F2"/>
            <w:noWrap/>
            <w:vAlign w:val="bottom"/>
            <w:hideMark/>
          </w:tcPr>
          <w:p w14:paraId="682F3C36"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TRMD-A.CO</w:t>
            </w:r>
          </w:p>
        </w:tc>
        <w:tc>
          <w:tcPr>
            <w:tcW w:w="1480" w:type="dxa"/>
            <w:tcBorders>
              <w:top w:val="nil"/>
              <w:left w:val="nil"/>
              <w:bottom w:val="nil"/>
              <w:right w:val="nil"/>
            </w:tcBorders>
            <w:shd w:val="clear" w:color="000000" w:fill="F2F2F2"/>
            <w:noWrap/>
            <w:vAlign w:val="bottom"/>
            <w:hideMark/>
          </w:tcPr>
          <w:p w14:paraId="7725CC24"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4.590</w:t>
            </w:r>
          </w:p>
        </w:tc>
        <w:tc>
          <w:tcPr>
            <w:tcW w:w="300" w:type="dxa"/>
            <w:tcBorders>
              <w:top w:val="nil"/>
              <w:left w:val="nil"/>
              <w:bottom w:val="nil"/>
              <w:right w:val="nil"/>
            </w:tcBorders>
            <w:shd w:val="clear" w:color="auto" w:fill="auto"/>
            <w:noWrap/>
            <w:vAlign w:val="bottom"/>
            <w:hideMark/>
          </w:tcPr>
          <w:p w14:paraId="001569D5"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000000" w:fill="F2F2F2"/>
            <w:noWrap/>
            <w:vAlign w:val="bottom"/>
            <w:hideMark/>
          </w:tcPr>
          <w:p w14:paraId="5089C175"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750</w:t>
            </w:r>
          </w:p>
        </w:tc>
        <w:tc>
          <w:tcPr>
            <w:tcW w:w="1380" w:type="dxa"/>
            <w:tcBorders>
              <w:top w:val="nil"/>
              <w:left w:val="nil"/>
              <w:bottom w:val="nil"/>
              <w:right w:val="nil"/>
            </w:tcBorders>
            <w:shd w:val="clear" w:color="000000" w:fill="F2F2F2"/>
            <w:noWrap/>
            <w:vAlign w:val="bottom"/>
            <w:hideMark/>
          </w:tcPr>
          <w:p w14:paraId="4FCF7E5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842</w:t>
            </w:r>
          </w:p>
        </w:tc>
      </w:tr>
      <w:tr w:rsidR="00EC2011" w:rsidRPr="00EC2011" w14:paraId="6CB5BFAB" w14:textId="77777777" w:rsidTr="00EC2011">
        <w:trPr>
          <w:trHeight w:val="255"/>
        </w:trPr>
        <w:tc>
          <w:tcPr>
            <w:tcW w:w="840" w:type="dxa"/>
            <w:tcBorders>
              <w:top w:val="nil"/>
              <w:left w:val="nil"/>
              <w:bottom w:val="nil"/>
              <w:right w:val="single" w:sz="4" w:space="0" w:color="auto"/>
            </w:tcBorders>
            <w:shd w:val="clear" w:color="auto" w:fill="auto"/>
            <w:noWrap/>
            <w:vAlign w:val="bottom"/>
            <w:hideMark/>
          </w:tcPr>
          <w:p w14:paraId="53E348DA"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29</w:t>
            </w:r>
          </w:p>
        </w:tc>
        <w:tc>
          <w:tcPr>
            <w:tcW w:w="2320" w:type="dxa"/>
            <w:tcBorders>
              <w:top w:val="nil"/>
              <w:left w:val="nil"/>
              <w:bottom w:val="nil"/>
              <w:right w:val="nil"/>
            </w:tcBorders>
            <w:shd w:val="clear" w:color="auto" w:fill="auto"/>
            <w:noWrap/>
            <w:vAlign w:val="bottom"/>
            <w:hideMark/>
          </w:tcPr>
          <w:p w14:paraId="516EADC8"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Sydbank</w:t>
            </w:r>
          </w:p>
        </w:tc>
        <w:tc>
          <w:tcPr>
            <w:tcW w:w="1380" w:type="dxa"/>
            <w:tcBorders>
              <w:top w:val="nil"/>
              <w:left w:val="nil"/>
              <w:bottom w:val="nil"/>
              <w:right w:val="nil"/>
            </w:tcBorders>
            <w:shd w:val="clear" w:color="auto" w:fill="auto"/>
            <w:noWrap/>
            <w:vAlign w:val="bottom"/>
            <w:hideMark/>
          </w:tcPr>
          <w:p w14:paraId="1E0DC2A7"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SYDB.CO</w:t>
            </w:r>
          </w:p>
        </w:tc>
        <w:tc>
          <w:tcPr>
            <w:tcW w:w="1480" w:type="dxa"/>
            <w:tcBorders>
              <w:top w:val="nil"/>
              <w:left w:val="nil"/>
              <w:bottom w:val="nil"/>
              <w:right w:val="nil"/>
            </w:tcBorders>
            <w:shd w:val="clear" w:color="auto" w:fill="auto"/>
            <w:noWrap/>
            <w:vAlign w:val="bottom"/>
            <w:hideMark/>
          </w:tcPr>
          <w:p w14:paraId="10F130DA"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4.513</w:t>
            </w:r>
          </w:p>
        </w:tc>
        <w:tc>
          <w:tcPr>
            <w:tcW w:w="300" w:type="dxa"/>
            <w:tcBorders>
              <w:top w:val="nil"/>
              <w:left w:val="nil"/>
              <w:bottom w:val="nil"/>
              <w:right w:val="nil"/>
            </w:tcBorders>
            <w:shd w:val="clear" w:color="auto" w:fill="auto"/>
            <w:noWrap/>
            <w:vAlign w:val="bottom"/>
            <w:hideMark/>
          </w:tcPr>
          <w:p w14:paraId="0FEBC6CF"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nil"/>
              <w:right w:val="nil"/>
            </w:tcBorders>
            <w:shd w:val="clear" w:color="auto" w:fill="auto"/>
            <w:noWrap/>
            <w:vAlign w:val="bottom"/>
            <w:hideMark/>
          </w:tcPr>
          <w:p w14:paraId="63369BBC"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783</w:t>
            </w:r>
          </w:p>
        </w:tc>
        <w:tc>
          <w:tcPr>
            <w:tcW w:w="1380" w:type="dxa"/>
            <w:tcBorders>
              <w:top w:val="nil"/>
              <w:left w:val="nil"/>
              <w:bottom w:val="nil"/>
              <w:right w:val="nil"/>
            </w:tcBorders>
            <w:shd w:val="clear" w:color="auto" w:fill="auto"/>
            <w:noWrap/>
            <w:vAlign w:val="bottom"/>
            <w:hideMark/>
          </w:tcPr>
          <w:p w14:paraId="41015F67"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597</w:t>
            </w:r>
          </w:p>
        </w:tc>
      </w:tr>
      <w:tr w:rsidR="00EC2011" w:rsidRPr="00EC2011" w14:paraId="2ADC9C5B" w14:textId="77777777" w:rsidTr="00EC2011">
        <w:trPr>
          <w:trHeight w:val="255"/>
        </w:trPr>
        <w:tc>
          <w:tcPr>
            <w:tcW w:w="840" w:type="dxa"/>
            <w:tcBorders>
              <w:top w:val="nil"/>
              <w:left w:val="nil"/>
              <w:bottom w:val="single" w:sz="4" w:space="0" w:color="auto"/>
              <w:right w:val="single" w:sz="4" w:space="0" w:color="auto"/>
            </w:tcBorders>
            <w:shd w:val="clear" w:color="000000" w:fill="F2F2F2"/>
            <w:noWrap/>
            <w:vAlign w:val="bottom"/>
            <w:hideMark/>
          </w:tcPr>
          <w:p w14:paraId="1386E76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30</w:t>
            </w:r>
          </w:p>
        </w:tc>
        <w:tc>
          <w:tcPr>
            <w:tcW w:w="2320" w:type="dxa"/>
            <w:tcBorders>
              <w:top w:val="nil"/>
              <w:left w:val="nil"/>
              <w:bottom w:val="single" w:sz="4" w:space="0" w:color="auto"/>
              <w:right w:val="nil"/>
            </w:tcBorders>
            <w:shd w:val="clear" w:color="000000" w:fill="F2F2F2"/>
            <w:noWrap/>
            <w:vAlign w:val="bottom"/>
            <w:hideMark/>
          </w:tcPr>
          <w:p w14:paraId="39672937"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ALK-Abello B</w:t>
            </w:r>
          </w:p>
        </w:tc>
        <w:tc>
          <w:tcPr>
            <w:tcW w:w="1380" w:type="dxa"/>
            <w:tcBorders>
              <w:top w:val="nil"/>
              <w:left w:val="nil"/>
              <w:bottom w:val="single" w:sz="4" w:space="0" w:color="auto"/>
              <w:right w:val="nil"/>
            </w:tcBorders>
            <w:shd w:val="clear" w:color="000000" w:fill="F2F2F2"/>
            <w:noWrap/>
            <w:vAlign w:val="bottom"/>
            <w:hideMark/>
          </w:tcPr>
          <w:p w14:paraId="45A4E691" w14:textId="77777777" w:rsidR="00EC2011" w:rsidRPr="00EC2011" w:rsidRDefault="00EC2011" w:rsidP="00EC2011">
            <w:pPr>
              <w:spacing w:after="0" w:line="240" w:lineRule="auto"/>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ALK-B.CO</w:t>
            </w:r>
          </w:p>
        </w:tc>
        <w:tc>
          <w:tcPr>
            <w:tcW w:w="1480" w:type="dxa"/>
            <w:tcBorders>
              <w:top w:val="nil"/>
              <w:left w:val="nil"/>
              <w:bottom w:val="single" w:sz="4" w:space="0" w:color="auto"/>
              <w:right w:val="nil"/>
            </w:tcBorders>
            <w:shd w:val="clear" w:color="000000" w:fill="F2F2F2"/>
            <w:noWrap/>
            <w:vAlign w:val="bottom"/>
            <w:hideMark/>
          </w:tcPr>
          <w:p w14:paraId="622E1C5E"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4.358</w:t>
            </w:r>
          </w:p>
        </w:tc>
        <w:tc>
          <w:tcPr>
            <w:tcW w:w="300" w:type="dxa"/>
            <w:tcBorders>
              <w:top w:val="nil"/>
              <w:left w:val="nil"/>
              <w:bottom w:val="nil"/>
              <w:right w:val="nil"/>
            </w:tcBorders>
            <w:shd w:val="clear" w:color="auto" w:fill="auto"/>
            <w:noWrap/>
            <w:vAlign w:val="bottom"/>
            <w:hideMark/>
          </w:tcPr>
          <w:p w14:paraId="1E033E3B"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p>
        </w:tc>
        <w:tc>
          <w:tcPr>
            <w:tcW w:w="1360" w:type="dxa"/>
            <w:tcBorders>
              <w:top w:val="nil"/>
              <w:left w:val="nil"/>
              <w:bottom w:val="single" w:sz="4" w:space="0" w:color="auto"/>
              <w:right w:val="nil"/>
            </w:tcBorders>
            <w:shd w:val="clear" w:color="000000" w:fill="F2F2F2"/>
            <w:noWrap/>
            <w:vAlign w:val="bottom"/>
            <w:hideMark/>
          </w:tcPr>
          <w:p w14:paraId="7D772F7A"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773</w:t>
            </w:r>
          </w:p>
        </w:tc>
        <w:tc>
          <w:tcPr>
            <w:tcW w:w="1380" w:type="dxa"/>
            <w:tcBorders>
              <w:top w:val="nil"/>
              <w:left w:val="nil"/>
              <w:bottom w:val="single" w:sz="4" w:space="0" w:color="auto"/>
              <w:right w:val="nil"/>
            </w:tcBorders>
            <w:shd w:val="clear" w:color="000000" w:fill="F2F2F2"/>
            <w:noWrap/>
            <w:vAlign w:val="bottom"/>
            <w:hideMark/>
          </w:tcPr>
          <w:p w14:paraId="6065578D" w14:textId="77777777" w:rsidR="00EC2011" w:rsidRPr="00EC2011" w:rsidRDefault="00EC2011" w:rsidP="00EC2011">
            <w:pPr>
              <w:spacing w:after="0" w:line="240" w:lineRule="auto"/>
              <w:jc w:val="right"/>
              <w:rPr>
                <w:rFonts w:ascii="Calibri" w:eastAsia="Times New Roman" w:hAnsi="Calibri" w:cs="Calibri"/>
                <w:color w:val="000000"/>
                <w:sz w:val="20"/>
                <w:szCs w:val="20"/>
                <w:lang w:val="da-DK" w:eastAsia="da-DK"/>
              </w:rPr>
            </w:pPr>
            <w:r w:rsidRPr="00EC2011">
              <w:rPr>
                <w:rFonts w:ascii="Calibri" w:eastAsia="Times New Roman" w:hAnsi="Calibri" w:cs="Calibri"/>
                <w:color w:val="000000"/>
                <w:sz w:val="20"/>
                <w:szCs w:val="20"/>
                <w:lang w:val="da-DK" w:eastAsia="da-DK"/>
              </w:rPr>
              <w:t>492</w:t>
            </w:r>
          </w:p>
        </w:tc>
      </w:tr>
    </w:tbl>
    <w:p w14:paraId="2D94FF59" w14:textId="77777777" w:rsidR="00EC2011" w:rsidRDefault="00EC2011">
      <w:pPr>
        <w:rPr>
          <w:lang w:val="da-DK"/>
        </w:rPr>
      </w:pPr>
    </w:p>
    <w:p w14:paraId="48270CA9" w14:textId="77777777" w:rsidR="00A577E6" w:rsidRDefault="00A577E6">
      <w:pPr>
        <w:rPr>
          <w:lang w:val="da-DK"/>
        </w:rPr>
      </w:pPr>
    </w:p>
    <w:p w14:paraId="02CC2558" w14:textId="77777777" w:rsidR="00703DE0" w:rsidRDefault="00703DE0">
      <w:pPr>
        <w:rPr>
          <w:lang w:val="da-DK"/>
        </w:rPr>
      </w:pPr>
    </w:p>
    <w:p w14:paraId="0B0DCA6F" w14:textId="77777777" w:rsidR="00BB6782" w:rsidRDefault="00BB6782">
      <w:pPr>
        <w:rPr>
          <w:lang w:val="da-DK"/>
        </w:rPr>
      </w:pPr>
    </w:p>
    <w:p w14:paraId="6178445E" w14:textId="77777777" w:rsidR="00BB6782" w:rsidRDefault="00BB6782">
      <w:pPr>
        <w:rPr>
          <w:lang w:val="da-DK"/>
        </w:rPr>
      </w:pPr>
    </w:p>
    <w:p w14:paraId="0310DBD3" w14:textId="77777777" w:rsidR="00BB6782" w:rsidRDefault="00BB6782">
      <w:pPr>
        <w:rPr>
          <w:lang w:val="da-DK"/>
        </w:rPr>
      </w:pPr>
    </w:p>
    <w:p w14:paraId="4DBB3B3B" w14:textId="77777777" w:rsidR="00BB6782" w:rsidRDefault="00BB6782">
      <w:pPr>
        <w:rPr>
          <w:lang w:val="da-DK"/>
        </w:rPr>
      </w:pPr>
    </w:p>
    <w:p w14:paraId="723F0A0E" w14:textId="77777777" w:rsidR="00BB6782" w:rsidRDefault="00BB6782">
      <w:pPr>
        <w:rPr>
          <w:lang w:val="da-DK"/>
        </w:rPr>
      </w:pPr>
    </w:p>
    <w:p w14:paraId="6002C4E0" w14:textId="77777777" w:rsidR="00BB6782" w:rsidRDefault="00BB6782">
      <w:pPr>
        <w:rPr>
          <w:lang w:val="da-DK"/>
        </w:rPr>
      </w:pPr>
    </w:p>
    <w:p w14:paraId="08044F09" w14:textId="77777777" w:rsidR="00BB6782" w:rsidRDefault="00BB6782">
      <w:pPr>
        <w:rPr>
          <w:lang w:val="da-DK"/>
        </w:rPr>
      </w:pPr>
    </w:p>
    <w:p w14:paraId="6FA41559" w14:textId="77777777" w:rsidR="00BB6782" w:rsidRDefault="00BB6782">
      <w:pPr>
        <w:rPr>
          <w:lang w:val="da-DK"/>
        </w:rPr>
      </w:pPr>
    </w:p>
    <w:p w14:paraId="53281061" w14:textId="77777777" w:rsidR="00BB6782" w:rsidRDefault="00BB6782">
      <w:pPr>
        <w:rPr>
          <w:lang w:val="da-DK"/>
        </w:rPr>
      </w:pPr>
    </w:p>
    <w:p w14:paraId="516F89A8" w14:textId="77777777" w:rsidR="00BB6782" w:rsidRDefault="00BB6782">
      <w:pPr>
        <w:rPr>
          <w:lang w:val="da-DK"/>
        </w:rPr>
      </w:pPr>
    </w:p>
    <w:p w14:paraId="1AE7EF37" w14:textId="77777777" w:rsidR="00BB6782" w:rsidRDefault="00BB6782">
      <w:pPr>
        <w:rPr>
          <w:lang w:val="da-DK"/>
        </w:rPr>
      </w:pPr>
    </w:p>
    <w:p w14:paraId="3B412057" w14:textId="77777777" w:rsidR="00BB6782" w:rsidRDefault="00BB6782">
      <w:pPr>
        <w:rPr>
          <w:lang w:val="da-DK"/>
        </w:rPr>
      </w:pPr>
    </w:p>
    <w:p w14:paraId="4310FF95" w14:textId="77777777" w:rsidR="00BB6782" w:rsidRDefault="00BB6782">
      <w:pPr>
        <w:rPr>
          <w:lang w:val="da-DK"/>
        </w:rPr>
      </w:pPr>
    </w:p>
    <w:p w14:paraId="242BB850" w14:textId="77777777" w:rsidR="00BB6782" w:rsidRDefault="00BB6782">
      <w:pPr>
        <w:rPr>
          <w:lang w:val="da-DK"/>
        </w:rPr>
      </w:pPr>
    </w:p>
    <w:p w14:paraId="14C08CA6" w14:textId="77777777" w:rsidR="00BB6782" w:rsidRDefault="00BB6782">
      <w:pPr>
        <w:rPr>
          <w:lang w:val="da-DK"/>
        </w:rPr>
      </w:pPr>
    </w:p>
    <w:p w14:paraId="74A580E0" w14:textId="77777777" w:rsidR="00BB6782" w:rsidRDefault="00BB6782">
      <w:pPr>
        <w:rPr>
          <w:lang w:val="da-DK"/>
        </w:rPr>
      </w:pPr>
    </w:p>
    <w:p w14:paraId="26509731" w14:textId="77777777" w:rsidR="00BB6782" w:rsidRDefault="00BB6782">
      <w:pPr>
        <w:rPr>
          <w:lang w:val="da-DK"/>
        </w:rPr>
      </w:pPr>
    </w:p>
    <w:p w14:paraId="2C523A78" w14:textId="77777777" w:rsidR="00BB6782" w:rsidRDefault="00BB6782">
      <w:pPr>
        <w:rPr>
          <w:lang w:val="da-DK"/>
        </w:rPr>
      </w:pPr>
    </w:p>
    <w:p w14:paraId="4FF46322" w14:textId="77777777" w:rsidR="00BB6782" w:rsidRDefault="00BB6782">
      <w:pPr>
        <w:rPr>
          <w:lang w:val="da-DK"/>
        </w:rPr>
      </w:pPr>
    </w:p>
    <w:p w14:paraId="2DF07248" w14:textId="77777777" w:rsidR="00BB6782" w:rsidRDefault="00BB6782">
      <w:pPr>
        <w:rPr>
          <w:lang w:val="da-DK"/>
        </w:rPr>
      </w:pPr>
    </w:p>
    <w:p w14:paraId="16765DC3" w14:textId="77777777" w:rsidR="00BB6782" w:rsidRDefault="00BB6782">
      <w:pPr>
        <w:rPr>
          <w:lang w:val="da-DK"/>
        </w:rPr>
      </w:pPr>
    </w:p>
    <w:p w14:paraId="1E8B8CB7" w14:textId="77777777" w:rsidR="00BB6782" w:rsidRDefault="00BB6782">
      <w:pPr>
        <w:rPr>
          <w:lang w:val="da-DK"/>
        </w:rPr>
      </w:pPr>
    </w:p>
    <w:sectPr w:rsidR="00BB6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dnet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0356"/>
    <w:multiLevelType w:val="hybridMultilevel"/>
    <w:tmpl w:val="454A9C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2847407"/>
    <w:multiLevelType w:val="hybridMultilevel"/>
    <w:tmpl w:val="22324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09051971">
    <w:abstractNumId w:val="1"/>
  </w:num>
  <w:num w:numId="2" w16cid:durableId="106499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82"/>
    <w:rsid w:val="00016841"/>
    <w:rsid w:val="000623F2"/>
    <w:rsid w:val="000D513E"/>
    <w:rsid w:val="000D54DB"/>
    <w:rsid w:val="00112EBF"/>
    <w:rsid w:val="001B375B"/>
    <w:rsid w:val="001C6CD8"/>
    <w:rsid w:val="0020593B"/>
    <w:rsid w:val="0023184E"/>
    <w:rsid w:val="00237692"/>
    <w:rsid w:val="0026049F"/>
    <w:rsid w:val="002803EB"/>
    <w:rsid w:val="00295AC3"/>
    <w:rsid w:val="002B0DBC"/>
    <w:rsid w:val="002D1C70"/>
    <w:rsid w:val="002F11B8"/>
    <w:rsid w:val="003172BD"/>
    <w:rsid w:val="00341C1C"/>
    <w:rsid w:val="003A739F"/>
    <w:rsid w:val="003B12C0"/>
    <w:rsid w:val="003C0863"/>
    <w:rsid w:val="003F5D7C"/>
    <w:rsid w:val="00402821"/>
    <w:rsid w:val="004F181C"/>
    <w:rsid w:val="005205B6"/>
    <w:rsid w:val="00560856"/>
    <w:rsid w:val="005B0E00"/>
    <w:rsid w:val="005D3ABD"/>
    <w:rsid w:val="006346D2"/>
    <w:rsid w:val="00677E9A"/>
    <w:rsid w:val="00690F79"/>
    <w:rsid w:val="00703DE0"/>
    <w:rsid w:val="00821067"/>
    <w:rsid w:val="00832281"/>
    <w:rsid w:val="008568DC"/>
    <w:rsid w:val="009819AF"/>
    <w:rsid w:val="009A221F"/>
    <w:rsid w:val="00A54963"/>
    <w:rsid w:val="00A577E6"/>
    <w:rsid w:val="00AD5856"/>
    <w:rsid w:val="00B46D6F"/>
    <w:rsid w:val="00B607FA"/>
    <w:rsid w:val="00BB6782"/>
    <w:rsid w:val="00C069B9"/>
    <w:rsid w:val="00C174AA"/>
    <w:rsid w:val="00C52711"/>
    <w:rsid w:val="00CE452A"/>
    <w:rsid w:val="00DA4457"/>
    <w:rsid w:val="00DC6255"/>
    <w:rsid w:val="00E35487"/>
    <w:rsid w:val="00E41AE6"/>
    <w:rsid w:val="00EC2011"/>
    <w:rsid w:val="00FC00B4"/>
    <w:rsid w:val="00FE4898"/>
    <w:rsid w:val="00FE4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397D"/>
  <w15:chartTrackingRefBased/>
  <w15:docId w15:val="{8C45DC4E-F336-4D02-A1BD-D3BB2C12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BD"/>
  </w:style>
  <w:style w:type="paragraph" w:styleId="Heading1">
    <w:name w:val="heading 1"/>
    <w:basedOn w:val="Normal"/>
    <w:next w:val="Normal"/>
    <w:link w:val="Heading1Char"/>
    <w:uiPriority w:val="9"/>
    <w:qFormat/>
    <w:rsid w:val="005D3ABD"/>
    <w:pPr>
      <w:keepNext/>
      <w:keepLines/>
      <w:spacing w:before="400" w:after="40" w:line="240" w:lineRule="auto"/>
      <w:outlineLvl w:val="0"/>
    </w:pPr>
    <w:rPr>
      <w:rFonts w:asciiTheme="majorHAnsi" w:eastAsiaTheme="majorEastAsia" w:hAnsiTheme="majorHAnsi" w:cstheme="majorBidi"/>
      <w:color w:val="00647A" w:themeColor="accent1" w:themeShade="80"/>
      <w:sz w:val="36"/>
      <w:szCs w:val="36"/>
    </w:rPr>
  </w:style>
  <w:style w:type="paragraph" w:styleId="Heading2">
    <w:name w:val="heading 2"/>
    <w:basedOn w:val="Normal"/>
    <w:next w:val="Normal"/>
    <w:link w:val="Heading2Char"/>
    <w:uiPriority w:val="9"/>
    <w:unhideWhenUsed/>
    <w:qFormat/>
    <w:rsid w:val="005D3ABD"/>
    <w:pPr>
      <w:keepNext/>
      <w:keepLines/>
      <w:spacing w:before="40" w:after="0" w:line="240" w:lineRule="auto"/>
      <w:outlineLvl w:val="1"/>
    </w:pPr>
    <w:rPr>
      <w:rFonts w:asciiTheme="majorHAnsi" w:eastAsiaTheme="majorEastAsia" w:hAnsiTheme="majorHAnsi" w:cstheme="majorBidi"/>
      <w:color w:val="0095B7" w:themeColor="accent1" w:themeShade="BF"/>
      <w:sz w:val="32"/>
      <w:szCs w:val="32"/>
    </w:rPr>
  </w:style>
  <w:style w:type="paragraph" w:styleId="Heading3">
    <w:name w:val="heading 3"/>
    <w:basedOn w:val="Normal"/>
    <w:next w:val="Normal"/>
    <w:link w:val="Heading3Char"/>
    <w:uiPriority w:val="9"/>
    <w:semiHidden/>
    <w:unhideWhenUsed/>
    <w:qFormat/>
    <w:rsid w:val="005D3ABD"/>
    <w:pPr>
      <w:keepNext/>
      <w:keepLines/>
      <w:spacing w:before="40" w:after="0" w:line="240" w:lineRule="auto"/>
      <w:outlineLvl w:val="2"/>
    </w:pPr>
    <w:rPr>
      <w:rFonts w:asciiTheme="majorHAnsi" w:eastAsiaTheme="majorEastAsia" w:hAnsiTheme="majorHAnsi" w:cstheme="majorBidi"/>
      <w:color w:val="0095B7" w:themeColor="accent1" w:themeShade="BF"/>
      <w:sz w:val="28"/>
      <w:szCs w:val="28"/>
    </w:rPr>
  </w:style>
  <w:style w:type="paragraph" w:styleId="Heading4">
    <w:name w:val="heading 4"/>
    <w:basedOn w:val="Normal"/>
    <w:next w:val="Normal"/>
    <w:link w:val="Heading4Char"/>
    <w:uiPriority w:val="9"/>
    <w:semiHidden/>
    <w:unhideWhenUsed/>
    <w:qFormat/>
    <w:rsid w:val="005D3ABD"/>
    <w:pPr>
      <w:keepNext/>
      <w:keepLines/>
      <w:spacing w:before="40" w:after="0"/>
      <w:outlineLvl w:val="3"/>
    </w:pPr>
    <w:rPr>
      <w:rFonts w:asciiTheme="majorHAnsi" w:eastAsiaTheme="majorEastAsia" w:hAnsiTheme="majorHAnsi" w:cstheme="majorBidi"/>
      <w:color w:val="0095B7" w:themeColor="accent1" w:themeShade="BF"/>
      <w:sz w:val="24"/>
      <w:szCs w:val="24"/>
    </w:rPr>
  </w:style>
  <w:style w:type="paragraph" w:styleId="Heading5">
    <w:name w:val="heading 5"/>
    <w:basedOn w:val="Normal"/>
    <w:next w:val="Normal"/>
    <w:link w:val="Heading5Char"/>
    <w:uiPriority w:val="9"/>
    <w:semiHidden/>
    <w:unhideWhenUsed/>
    <w:qFormat/>
    <w:rsid w:val="005D3ABD"/>
    <w:pPr>
      <w:keepNext/>
      <w:keepLines/>
      <w:spacing w:before="40" w:after="0"/>
      <w:outlineLvl w:val="4"/>
    </w:pPr>
    <w:rPr>
      <w:rFonts w:asciiTheme="majorHAnsi" w:eastAsiaTheme="majorEastAsia" w:hAnsiTheme="majorHAnsi" w:cstheme="majorBidi"/>
      <w:caps/>
      <w:color w:val="0095B7" w:themeColor="accent1" w:themeShade="BF"/>
    </w:rPr>
  </w:style>
  <w:style w:type="paragraph" w:styleId="Heading6">
    <w:name w:val="heading 6"/>
    <w:basedOn w:val="Normal"/>
    <w:next w:val="Normal"/>
    <w:link w:val="Heading6Char"/>
    <w:uiPriority w:val="9"/>
    <w:semiHidden/>
    <w:unhideWhenUsed/>
    <w:qFormat/>
    <w:rsid w:val="005D3ABD"/>
    <w:pPr>
      <w:keepNext/>
      <w:keepLines/>
      <w:spacing w:before="40" w:after="0"/>
      <w:outlineLvl w:val="5"/>
    </w:pPr>
    <w:rPr>
      <w:rFonts w:asciiTheme="majorHAnsi" w:eastAsiaTheme="majorEastAsia" w:hAnsiTheme="majorHAnsi" w:cstheme="majorBidi"/>
      <w:i/>
      <w:iCs/>
      <w:caps/>
      <w:color w:val="00647A" w:themeColor="accent1" w:themeShade="80"/>
    </w:rPr>
  </w:style>
  <w:style w:type="paragraph" w:styleId="Heading7">
    <w:name w:val="heading 7"/>
    <w:basedOn w:val="Normal"/>
    <w:next w:val="Normal"/>
    <w:link w:val="Heading7Char"/>
    <w:uiPriority w:val="9"/>
    <w:semiHidden/>
    <w:unhideWhenUsed/>
    <w:qFormat/>
    <w:rsid w:val="005D3ABD"/>
    <w:pPr>
      <w:keepNext/>
      <w:keepLines/>
      <w:spacing w:before="40" w:after="0"/>
      <w:outlineLvl w:val="6"/>
    </w:pPr>
    <w:rPr>
      <w:rFonts w:asciiTheme="majorHAnsi" w:eastAsiaTheme="majorEastAsia" w:hAnsiTheme="majorHAnsi" w:cstheme="majorBidi"/>
      <w:b/>
      <w:bCs/>
      <w:color w:val="00647A" w:themeColor="accent1" w:themeShade="80"/>
    </w:rPr>
  </w:style>
  <w:style w:type="paragraph" w:styleId="Heading8">
    <w:name w:val="heading 8"/>
    <w:basedOn w:val="Normal"/>
    <w:next w:val="Normal"/>
    <w:link w:val="Heading8Char"/>
    <w:uiPriority w:val="9"/>
    <w:semiHidden/>
    <w:unhideWhenUsed/>
    <w:qFormat/>
    <w:rsid w:val="005D3ABD"/>
    <w:pPr>
      <w:keepNext/>
      <w:keepLines/>
      <w:spacing w:before="40" w:after="0"/>
      <w:outlineLvl w:val="7"/>
    </w:pPr>
    <w:rPr>
      <w:rFonts w:asciiTheme="majorHAnsi" w:eastAsiaTheme="majorEastAsia" w:hAnsiTheme="majorHAnsi" w:cstheme="majorBidi"/>
      <w:b/>
      <w:bCs/>
      <w:i/>
      <w:iCs/>
      <w:color w:val="00647A" w:themeColor="accent1" w:themeShade="80"/>
    </w:rPr>
  </w:style>
  <w:style w:type="paragraph" w:styleId="Heading9">
    <w:name w:val="heading 9"/>
    <w:basedOn w:val="Normal"/>
    <w:next w:val="Normal"/>
    <w:link w:val="Heading9Char"/>
    <w:uiPriority w:val="9"/>
    <w:semiHidden/>
    <w:unhideWhenUsed/>
    <w:qFormat/>
    <w:rsid w:val="005D3ABD"/>
    <w:pPr>
      <w:keepNext/>
      <w:keepLines/>
      <w:spacing w:before="40" w:after="0"/>
      <w:outlineLvl w:val="8"/>
    </w:pPr>
    <w:rPr>
      <w:rFonts w:asciiTheme="majorHAnsi" w:eastAsiaTheme="majorEastAsia" w:hAnsiTheme="majorHAnsi" w:cstheme="majorBidi"/>
      <w:i/>
      <w:iCs/>
      <w:color w:val="00647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D"/>
    <w:rPr>
      <w:rFonts w:asciiTheme="majorHAnsi" w:eastAsiaTheme="majorEastAsia" w:hAnsiTheme="majorHAnsi" w:cstheme="majorBidi"/>
      <w:color w:val="00647A" w:themeColor="accent1" w:themeShade="80"/>
      <w:sz w:val="36"/>
      <w:szCs w:val="36"/>
    </w:rPr>
  </w:style>
  <w:style w:type="character" w:customStyle="1" w:styleId="Heading2Char">
    <w:name w:val="Heading 2 Char"/>
    <w:basedOn w:val="DefaultParagraphFont"/>
    <w:link w:val="Heading2"/>
    <w:uiPriority w:val="9"/>
    <w:rsid w:val="005D3ABD"/>
    <w:rPr>
      <w:rFonts w:asciiTheme="majorHAnsi" w:eastAsiaTheme="majorEastAsia" w:hAnsiTheme="majorHAnsi" w:cstheme="majorBidi"/>
      <w:color w:val="0095B7" w:themeColor="accent1" w:themeShade="BF"/>
      <w:sz w:val="32"/>
      <w:szCs w:val="32"/>
    </w:rPr>
  </w:style>
  <w:style w:type="character" w:customStyle="1" w:styleId="Heading3Char">
    <w:name w:val="Heading 3 Char"/>
    <w:basedOn w:val="DefaultParagraphFont"/>
    <w:link w:val="Heading3"/>
    <w:uiPriority w:val="9"/>
    <w:semiHidden/>
    <w:rsid w:val="005D3ABD"/>
    <w:rPr>
      <w:rFonts w:asciiTheme="majorHAnsi" w:eastAsiaTheme="majorEastAsia" w:hAnsiTheme="majorHAnsi" w:cstheme="majorBidi"/>
      <w:color w:val="0095B7" w:themeColor="accent1" w:themeShade="BF"/>
      <w:sz w:val="28"/>
      <w:szCs w:val="28"/>
    </w:rPr>
  </w:style>
  <w:style w:type="character" w:customStyle="1" w:styleId="Heading4Char">
    <w:name w:val="Heading 4 Char"/>
    <w:basedOn w:val="DefaultParagraphFont"/>
    <w:link w:val="Heading4"/>
    <w:uiPriority w:val="9"/>
    <w:semiHidden/>
    <w:rsid w:val="005D3ABD"/>
    <w:rPr>
      <w:rFonts w:asciiTheme="majorHAnsi" w:eastAsiaTheme="majorEastAsia" w:hAnsiTheme="majorHAnsi" w:cstheme="majorBidi"/>
      <w:color w:val="0095B7" w:themeColor="accent1" w:themeShade="BF"/>
      <w:sz w:val="24"/>
      <w:szCs w:val="24"/>
    </w:rPr>
  </w:style>
  <w:style w:type="character" w:customStyle="1" w:styleId="Heading5Char">
    <w:name w:val="Heading 5 Char"/>
    <w:basedOn w:val="DefaultParagraphFont"/>
    <w:link w:val="Heading5"/>
    <w:uiPriority w:val="9"/>
    <w:semiHidden/>
    <w:rsid w:val="005D3ABD"/>
    <w:rPr>
      <w:rFonts w:asciiTheme="majorHAnsi" w:eastAsiaTheme="majorEastAsia" w:hAnsiTheme="majorHAnsi" w:cstheme="majorBidi"/>
      <w:caps/>
      <w:color w:val="0095B7" w:themeColor="accent1" w:themeShade="BF"/>
    </w:rPr>
  </w:style>
  <w:style w:type="character" w:customStyle="1" w:styleId="Heading6Char">
    <w:name w:val="Heading 6 Char"/>
    <w:basedOn w:val="DefaultParagraphFont"/>
    <w:link w:val="Heading6"/>
    <w:uiPriority w:val="9"/>
    <w:semiHidden/>
    <w:rsid w:val="005D3ABD"/>
    <w:rPr>
      <w:rFonts w:asciiTheme="majorHAnsi" w:eastAsiaTheme="majorEastAsia" w:hAnsiTheme="majorHAnsi" w:cstheme="majorBidi"/>
      <w:i/>
      <w:iCs/>
      <w:caps/>
      <w:color w:val="00647A" w:themeColor="accent1" w:themeShade="80"/>
    </w:rPr>
  </w:style>
  <w:style w:type="character" w:customStyle="1" w:styleId="Heading7Char">
    <w:name w:val="Heading 7 Char"/>
    <w:basedOn w:val="DefaultParagraphFont"/>
    <w:link w:val="Heading7"/>
    <w:uiPriority w:val="9"/>
    <w:semiHidden/>
    <w:rsid w:val="005D3ABD"/>
    <w:rPr>
      <w:rFonts w:asciiTheme="majorHAnsi" w:eastAsiaTheme="majorEastAsia" w:hAnsiTheme="majorHAnsi" w:cstheme="majorBidi"/>
      <w:b/>
      <w:bCs/>
      <w:color w:val="00647A" w:themeColor="accent1" w:themeShade="80"/>
    </w:rPr>
  </w:style>
  <w:style w:type="character" w:customStyle="1" w:styleId="Heading8Char">
    <w:name w:val="Heading 8 Char"/>
    <w:basedOn w:val="DefaultParagraphFont"/>
    <w:link w:val="Heading8"/>
    <w:uiPriority w:val="9"/>
    <w:semiHidden/>
    <w:rsid w:val="005D3ABD"/>
    <w:rPr>
      <w:rFonts w:asciiTheme="majorHAnsi" w:eastAsiaTheme="majorEastAsia" w:hAnsiTheme="majorHAnsi" w:cstheme="majorBidi"/>
      <w:b/>
      <w:bCs/>
      <w:i/>
      <w:iCs/>
      <w:color w:val="00647A" w:themeColor="accent1" w:themeShade="80"/>
    </w:rPr>
  </w:style>
  <w:style w:type="character" w:customStyle="1" w:styleId="Heading9Char">
    <w:name w:val="Heading 9 Char"/>
    <w:basedOn w:val="DefaultParagraphFont"/>
    <w:link w:val="Heading9"/>
    <w:uiPriority w:val="9"/>
    <w:semiHidden/>
    <w:rsid w:val="005D3ABD"/>
    <w:rPr>
      <w:rFonts w:asciiTheme="majorHAnsi" w:eastAsiaTheme="majorEastAsia" w:hAnsiTheme="majorHAnsi" w:cstheme="majorBidi"/>
      <w:i/>
      <w:iCs/>
      <w:color w:val="00647A" w:themeColor="accent1" w:themeShade="80"/>
    </w:rPr>
  </w:style>
  <w:style w:type="paragraph" w:styleId="Caption">
    <w:name w:val="caption"/>
    <w:basedOn w:val="Normal"/>
    <w:next w:val="Normal"/>
    <w:uiPriority w:val="35"/>
    <w:semiHidden/>
    <w:unhideWhenUsed/>
    <w:qFormat/>
    <w:rsid w:val="005D3ABD"/>
    <w:pPr>
      <w:spacing w:line="240" w:lineRule="auto"/>
    </w:pPr>
    <w:rPr>
      <w:b/>
      <w:bCs/>
      <w:smallCaps/>
      <w:color w:val="4B4B46" w:themeColor="text2"/>
    </w:rPr>
  </w:style>
  <w:style w:type="paragraph" w:styleId="Title">
    <w:name w:val="Title"/>
    <w:basedOn w:val="Normal"/>
    <w:next w:val="Normal"/>
    <w:link w:val="TitleChar"/>
    <w:uiPriority w:val="10"/>
    <w:qFormat/>
    <w:rsid w:val="005D3ABD"/>
    <w:pPr>
      <w:spacing w:after="0" w:line="204" w:lineRule="auto"/>
      <w:contextualSpacing/>
    </w:pPr>
    <w:rPr>
      <w:rFonts w:asciiTheme="majorHAnsi" w:eastAsiaTheme="majorEastAsia" w:hAnsiTheme="majorHAnsi" w:cstheme="majorBidi"/>
      <w:caps/>
      <w:color w:val="4B4B46" w:themeColor="text2"/>
      <w:spacing w:val="-15"/>
      <w:sz w:val="72"/>
      <w:szCs w:val="72"/>
    </w:rPr>
  </w:style>
  <w:style w:type="character" w:customStyle="1" w:styleId="TitleChar">
    <w:name w:val="Title Char"/>
    <w:basedOn w:val="DefaultParagraphFont"/>
    <w:link w:val="Title"/>
    <w:uiPriority w:val="10"/>
    <w:rsid w:val="005D3ABD"/>
    <w:rPr>
      <w:rFonts w:asciiTheme="majorHAnsi" w:eastAsiaTheme="majorEastAsia" w:hAnsiTheme="majorHAnsi" w:cstheme="majorBidi"/>
      <w:caps/>
      <w:color w:val="4B4B46" w:themeColor="text2"/>
      <w:spacing w:val="-15"/>
      <w:sz w:val="72"/>
      <w:szCs w:val="72"/>
    </w:rPr>
  </w:style>
  <w:style w:type="paragraph" w:styleId="Subtitle">
    <w:name w:val="Subtitle"/>
    <w:basedOn w:val="Normal"/>
    <w:next w:val="Normal"/>
    <w:link w:val="SubtitleChar"/>
    <w:uiPriority w:val="11"/>
    <w:qFormat/>
    <w:rsid w:val="005D3ABD"/>
    <w:pPr>
      <w:numPr>
        <w:ilvl w:val="1"/>
      </w:numPr>
      <w:spacing w:after="240" w:line="240" w:lineRule="auto"/>
    </w:pPr>
    <w:rPr>
      <w:rFonts w:asciiTheme="majorHAnsi" w:eastAsiaTheme="majorEastAsia" w:hAnsiTheme="majorHAnsi" w:cstheme="majorBidi"/>
      <w:color w:val="00C8F5" w:themeColor="accent1"/>
      <w:sz w:val="28"/>
      <w:szCs w:val="28"/>
    </w:rPr>
  </w:style>
  <w:style w:type="character" w:customStyle="1" w:styleId="SubtitleChar">
    <w:name w:val="Subtitle Char"/>
    <w:basedOn w:val="DefaultParagraphFont"/>
    <w:link w:val="Subtitle"/>
    <w:uiPriority w:val="11"/>
    <w:rsid w:val="005D3ABD"/>
    <w:rPr>
      <w:rFonts w:asciiTheme="majorHAnsi" w:eastAsiaTheme="majorEastAsia" w:hAnsiTheme="majorHAnsi" w:cstheme="majorBidi"/>
      <w:color w:val="00C8F5" w:themeColor="accent1"/>
      <w:sz w:val="28"/>
      <w:szCs w:val="28"/>
    </w:rPr>
  </w:style>
  <w:style w:type="character" w:styleId="Strong">
    <w:name w:val="Strong"/>
    <w:basedOn w:val="DefaultParagraphFont"/>
    <w:uiPriority w:val="22"/>
    <w:qFormat/>
    <w:rsid w:val="005D3ABD"/>
    <w:rPr>
      <w:b/>
      <w:bCs/>
    </w:rPr>
  </w:style>
  <w:style w:type="character" w:styleId="Emphasis">
    <w:name w:val="Emphasis"/>
    <w:basedOn w:val="DefaultParagraphFont"/>
    <w:uiPriority w:val="20"/>
    <w:qFormat/>
    <w:rsid w:val="005D3ABD"/>
    <w:rPr>
      <w:i/>
      <w:iCs/>
    </w:rPr>
  </w:style>
  <w:style w:type="paragraph" w:styleId="NoSpacing">
    <w:name w:val="No Spacing"/>
    <w:uiPriority w:val="1"/>
    <w:qFormat/>
    <w:rsid w:val="005D3ABD"/>
    <w:pPr>
      <w:spacing w:after="0" w:line="240" w:lineRule="auto"/>
    </w:pPr>
  </w:style>
  <w:style w:type="paragraph" w:styleId="Quote">
    <w:name w:val="Quote"/>
    <w:basedOn w:val="Normal"/>
    <w:next w:val="Normal"/>
    <w:link w:val="QuoteChar"/>
    <w:uiPriority w:val="29"/>
    <w:qFormat/>
    <w:rsid w:val="005D3ABD"/>
    <w:pPr>
      <w:spacing w:before="120" w:after="120"/>
      <w:ind w:left="720"/>
    </w:pPr>
    <w:rPr>
      <w:color w:val="4B4B46" w:themeColor="text2"/>
      <w:sz w:val="24"/>
      <w:szCs w:val="24"/>
    </w:rPr>
  </w:style>
  <w:style w:type="character" w:customStyle="1" w:styleId="QuoteChar">
    <w:name w:val="Quote Char"/>
    <w:basedOn w:val="DefaultParagraphFont"/>
    <w:link w:val="Quote"/>
    <w:uiPriority w:val="29"/>
    <w:rsid w:val="005D3ABD"/>
    <w:rPr>
      <w:color w:val="4B4B46" w:themeColor="text2"/>
      <w:sz w:val="24"/>
      <w:szCs w:val="24"/>
    </w:rPr>
  </w:style>
  <w:style w:type="paragraph" w:styleId="IntenseQuote">
    <w:name w:val="Intense Quote"/>
    <w:basedOn w:val="Normal"/>
    <w:next w:val="Normal"/>
    <w:link w:val="IntenseQuoteChar"/>
    <w:uiPriority w:val="30"/>
    <w:qFormat/>
    <w:rsid w:val="005D3ABD"/>
    <w:pPr>
      <w:spacing w:before="100" w:beforeAutospacing="1" w:after="240" w:line="240" w:lineRule="auto"/>
      <w:ind w:left="720"/>
      <w:jc w:val="center"/>
    </w:pPr>
    <w:rPr>
      <w:rFonts w:asciiTheme="majorHAnsi" w:eastAsiaTheme="majorEastAsia" w:hAnsiTheme="majorHAnsi" w:cstheme="majorBidi"/>
      <w:color w:val="4B4B46" w:themeColor="text2"/>
      <w:spacing w:val="-6"/>
      <w:sz w:val="32"/>
      <w:szCs w:val="32"/>
    </w:rPr>
  </w:style>
  <w:style w:type="character" w:customStyle="1" w:styleId="IntenseQuoteChar">
    <w:name w:val="Intense Quote Char"/>
    <w:basedOn w:val="DefaultParagraphFont"/>
    <w:link w:val="IntenseQuote"/>
    <w:uiPriority w:val="30"/>
    <w:rsid w:val="005D3ABD"/>
    <w:rPr>
      <w:rFonts w:asciiTheme="majorHAnsi" w:eastAsiaTheme="majorEastAsia" w:hAnsiTheme="majorHAnsi" w:cstheme="majorBidi"/>
      <w:color w:val="4B4B46" w:themeColor="text2"/>
      <w:spacing w:val="-6"/>
      <w:sz w:val="32"/>
      <w:szCs w:val="32"/>
    </w:rPr>
  </w:style>
  <w:style w:type="character" w:styleId="SubtleEmphasis">
    <w:name w:val="Subtle Emphasis"/>
    <w:basedOn w:val="DefaultParagraphFont"/>
    <w:uiPriority w:val="19"/>
    <w:qFormat/>
    <w:rsid w:val="005D3ABD"/>
    <w:rPr>
      <w:i/>
      <w:iCs/>
      <w:color w:val="595959" w:themeColor="text1" w:themeTint="A6"/>
    </w:rPr>
  </w:style>
  <w:style w:type="character" w:styleId="IntenseEmphasis">
    <w:name w:val="Intense Emphasis"/>
    <w:basedOn w:val="DefaultParagraphFont"/>
    <w:uiPriority w:val="21"/>
    <w:qFormat/>
    <w:rsid w:val="005D3ABD"/>
    <w:rPr>
      <w:b/>
      <w:bCs/>
      <w:i/>
      <w:iCs/>
    </w:rPr>
  </w:style>
  <w:style w:type="character" w:styleId="SubtleReference">
    <w:name w:val="Subtle Reference"/>
    <w:basedOn w:val="DefaultParagraphFont"/>
    <w:uiPriority w:val="31"/>
    <w:qFormat/>
    <w:rsid w:val="005D3A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3ABD"/>
    <w:rPr>
      <w:b/>
      <w:bCs/>
      <w:smallCaps/>
      <w:color w:val="4B4B46" w:themeColor="text2"/>
      <w:u w:val="single"/>
    </w:rPr>
  </w:style>
  <w:style w:type="character" w:styleId="BookTitle">
    <w:name w:val="Book Title"/>
    <w:basedOn w:val="DefaultParagraphFont"/>
    <w:uiPriority w:val="33"/>
    <w:qFormat/>
    <w:rsid w:val="005D3ABD"/>
    <w:rPr>
      <w:b/>
      <w:bCs/>
      <w:smallCaps/>
      <w:spacing w:val="10"/>
    </w:rPr>
  </w:style>
  <w:style w:type="paragraph" w:styleId="TOCHeading">
    <w:name w:val="TOC Heading"/>
    <w:basedOn w:val="Heading1"/>
    <w:next w:val="Normal"/>
    <w:uiPriority w:val="39"/>
    <w:semiHidden/>
    <w:unhideWhenUsed/>
    <w:qFormat/>
    <w:rsid w:val="005D3ABD"/>
    <w:pPr>
      <w:outlineLvl w:val="9"/>
    </w:pPr>
  </w:style>
  <w:style w:type="paragraph" w:styleId="ListParagraph">
    <w:name w:val="List Paragraph"/>
    <w:basedOn w:val="Normal"/>
    <w:uiPriority w:val="34"/>
    <w:qFormat/>
    <w:rsid w:val="002B0DBC"/>
    <w:pPr>
      <w:ind w:left="720"/>
      <w:contextualSpacing/>
    </w:pPr>
  </w:style>
  <w:style w:type="character" w:styleId="Hyperlink">
    <w:name w:val="Hyperlink"/>
    <w:basedOn w:val="DefaultParagraphFont"/>
    <w:uiPriority w:val="99"/>
    <w:unhideWhenUsed/>
    <w:rsid w:val="003A739F"/>
    <w:rPr>
      <w:color w:val="385E9D" w:themeColor="hyperlink"/>
      <w:u w:val="single"/>
    </w:rPr>
  </w:style>
  <w:style w:type="character" w:styleId="UnresolvedMention">
    <w:name w:val="Unresolved Mention"/>
    <w:basedOn w:val="DefaultParagraphFont"/>
    <w:uiPriority w:val="99"/>
    <w:semiHidden/>
    <w:unhideWhenUsed/>
    <w:rsid w:val="003A7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7624">
      <w:bodyDiv w:val="1"/>
      <w:marLeft w:val="0"/>
      <w:marRight w:val="0"/>
      <w:marTop w:val="0"/>
      <w:marBottom w:val="0"/>
      <w:divBdr>
        <w:top w:val="none" w:sz="0" w:space="0" w:color="auto"/>
        <w:left w:val="none" w:sz="0" w:space="0" w:color="auto"/>
        <w:bottom w:val="none" w:sz="0" w:space="0" w:color="auto"/>
        <w:right w:val="none" w:sz="0" w:space="0" w:color="auto"/>
      </w:divBdr>
    </w:div>
    <w:div w:id="543253002">
      <w:bodyDiv w:val="1"/>
      <w:marLeft w:val="0"/>
      <w:marRight w:val="0"/>
      <w:marTop w:val="0"/>
      <w:marBottom w:val="0"/>
      <w:divBdr>
        <w:top w:val="none" w:sz="0" w:space="0" w:color="auto"/>
        <w:left w:val="none" w:sz="0" w:space="0" w:color="auto"/>
        <w:bottom w:val="none" w:sz="0" w:space="0" w:color="auto"/>
        <w:right w:val="none" w:sz="0" w:space="0" w:color="auto"/>
      </w:divBdr>
    </w:div>
    <w:div w:id="700015600">
      <w:bodyDiv w:val="1"/>
      <w:marLeft w:val="0"/>
      <w:marRight w:val="0"/>
      <w:marTop w:val="0"/>
      <w:marBottom w:val="0"/>
      <w:divBdr>
        <w:top w:val="none" w:sz="0" w:space="0" w:color="auto"/>
        <w:left w:val="none" w:sz="0" w:space="0" w:color="auto"/>
        <w:bottom w:val="none" w:sz="0" w:space="0" w:color="auto"/>
        <w:right w:val="none" w:sz="0" w:space="0" w:color="auto"/>
      </w:divBdr>
    </w:div>
    <w:div w:id="747314803">
      <w:bodyDiv w:val="1"/>
      <w:marLeft w:val="0"/>
      <w:marRight w:val="0"/>
      <w:marTop w:val="0"/>
      <w:marBottom w:val="0"/>
      <w:divBdr>
        <w:top w:val="none" w:sz="0" w:space="0" w:color="auto"/>
        <w:left w:val="none" w:sz="0" w:space="0" w:color="auto"/>
        <w:bottom w:val="none" w:sz="0" w:space="0" w:color="auto"/>
        <w:right w:val="none" w:sz="0" w:space="0" w:color="auto"/>
      </w:divBdr>
    </w:div>
    <w:div w:id="827940228">
      <w:bodyDiv w:val="1"/>
      <w:marLeft w:val="0"/>
      <w:marRight w:val="0"/>
      <w:marTop w:val="0"/>
      <w:marBottom w:val="0"/>
      <w:divBdr>
        <w:top w:val="none" w:sz="0" w:space="0" w:color="auto"/>
        <w:left w:val="none" w:sz="0" w:space="0" w:color="auto"/>
        <w:bottom w:val="none" w:sz="0" w:space="0" w:color="auto"/>
        <w:right w:val="none" w:sz="0" w:space="0" w:color="auto"/>
      </w:divBdr>
    </w:div>
    <w:div w:id="1068116433">
      <w:bodyDiv w:val="1"/>
      <w:marLeft w:val="0"/>
      <w:marRight w:val="0"/>
      <w:marTop w:val="0"/>
      <w:marBottom w:val="0"/>
      <w:divBdr>
        <w:top w:val="none" w:sz="0" w:space="0" w:color="auto"/>
        <w:left w:val="none" w:sz="0" w:space="0" w:color="auto"/>
        <w:bottom w:val="none" w:sz="0" w:space="0" w:color="auto"/>
        <w:right w:val="none" w:sz="0" w:space="0" w:color="auto"/>
      </w:divBdr>
    </w:div>
    <w:div w:id="1436635569">
      <w:bodyDiv w:val="1"/>
      <w:marLeft w:val="0"/>
      <w:marRight w:val="0"/>
      <w:marTop w:val="0"/>
      <w:marBottom w:val="0"/>
      <w:divBdr>
        <w:top w:val="none" w:sz="0" w:space="0" w:color="auto"/>
        <w:left w:val="none" w:sz="0" w:space="0" w:color="auto"/>
        <w:bottom w:val="none" w:sz="0" w:space="0" w:color="auto"/>
        <w:right w:val="none" w:sz="0" w:space="0" w:color="auto"/>
      </w:divBdr>
    </w:div>
    <w:div w:id="17332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nordnet.dk/blog/karakterbogen-q3-mange-middelmaadige-praestationer-og-stof-til-eftertanke-i-den-nedre-og-tunge-en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eme1">
  <a:themeElements>
    <a:clrScheme name="Nordnet">
      <a:dk1>
        <a:sysClr val="windowText" lastClr="000000"/>
      </a:dk1>
      <a:lt1>
        <a:srgbClr val="FFFFFF"/>
      </a:lt1>
      <a:dk2>
        <a:srgbClr val="4B4B46"/>
      </a:dk2>
      <a:lt2>
        <a:srgbClr val="D7D7D3"/>
      </a:lt2>
      <a:accent1>
        <a:srgbClr val="00C8F5"/>
      </a:accent1>
      <a:accent2>
        <a:srgbClr val="385E9D"/>
      </a:accent2>
      <a:accent3>
        <a:srgbClr val="FF2B83"/>
      </a:accent3>
      <a:accent4>
        <a:srgbClr val="AC145A"/>
      </a:accent4>
      <a:accent5>
        <a:srgbClr val="C3F500"/>
      </a:accent5>
      <a:accent6>
        <a:srgbClr val="3A913F"/>
      </a:accent6>
      <a:hlink>
        <a:srgbClr val="385E9D"/>
      </a:hlink>
      <a:folHlink>
        <a:srgbClr val="131F4F"/>
      </a:folHlink>
    </a:clrScheme>
    <a:fontScheme name="Nordnet_Colour">
      <a:majorFont>
        <a:latin typeface="Nordnet San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rdnet San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gn="l">
          <a:defRPr dirty="0"/>
        </a:defPPr>
      </a:lstStyle>
    </a:txDef>
  </a:objectDefaults>
  <a:extraClrSchemeLst/>
  <a:custClrLst>
    <a:custClr>
      <a:srgbClr val="FF2B83"/>
    </a:custClr>
    <a:custClr>
      <a:srgbClr val="00F0E1"/>
    </a:custClr>
    <a:custClr>
      <a:srgbClr val="FFFFFF"/>
    </a:custClr>
    <a:custClr>
      <a:srgbClr val="BCBCB6"/>
    </a:custClr>
    <a:custClr>
      <a:srgbClr val="4B4B46"/>
    </a:custClr>
    <a:custClr>
      <a:srgbClr val="FF5A00"/>
    </a:custClr>
    <a:custClr>
      <a:srgbClr val="FFFFFF"/>
    </a:custClr>
    <a:custClr>
      <a:srgbClr val="FFFFFF"/>
    </a:custClr>
    <a:custClr>
      <a:srgbClr val="FFFFFF"/>
    </a:custClr>
    <a:custClr>
      <a:srgbClr val="FFFFFF"/>
    </a:custClr>
    <a:custClr>
      <a:srgbClr val="AC145A"/>
    </a:custClr>
    <a:custClr>
      <a:srgbClr val="009195"/>
    </a:custClr>
    <a:custClr>
      <a:srgbClr val="EBEBE8"/>
    </a:custClr>
    <a:custClr>
      <a:srgbClr val="A0A09B"/>
    </a:custClr>
    <a:custClr>
      <a:srgbClr val="282823"/>
    </a:custClr>
    <a:custClr>
      <a:srgbClr val="00E600"/>
    </a:custClr>
    <a:custClr>
      <a:srgbClr val="FFFFFF"/>
    </a:custClr>
    <a:custClr>
      <a:srgbClr val="FFFFFF"/>
    </a:custClr>
    <a:custClr>
      <a:srgbClr val="FFFFFF"/>
    </a:custClr>
    <a:custClr>
      <a:srgbClr val="FFFFFF"/>
    </a:custClr>
    <a:custClr>
      <a:srgbClr val="78003C"/>
    </a:custClr>
    <a:custClr>
      <a:srgbClr val="00424C"/>
    </a:custClr>
    <a:custClr>
      <a:srgbClr val="D7D7D3"/>
    </a:custClr>
    <a:custClr>
      <a:srgbClr val="6E6E69"/>
    </a:custClr>
    <a:custClr>
      <a:srgbClr val="000000"/>
    </a:custClr>
    <a:custClr>
      <a:srgbClr val="0000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Theme1" id="{F32472F7-7FF7-4FC2-847F-76F0E0D1CB3F}" vid="{0DFF9AE4-9F93-4DAD-A581-FFA210EB5EE2}"/>
    </a:ext>
  </a:extLst>
</a:theme>
</file>

<file path=docProps/app.xml><?xml version="1.0" encoding="utf-8"?>
<Properties xmlns="http://schemas.openxmlformats.org/officeDocument/2006/extended-properties" xmlns:vt="http://schemas.openxmlformats.org/officeDocument/2006/docPropsVTypes">
  <Template>Normal</Template>
  <TotalTime>198</TotalTime>
  <Pages>12</Pages>
  <Words>2318</Words>
  <Characters>14143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Nordnet</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31</cp:revision>
  <dcterms:created xsi:type="dcterms:W3CDTF">2023-11-18T07:57:00Z</dcterms:created>
  <dcterms:modified xsi:type="dcterms:W3CDTF">2023-11-20T05:55:00Z</dcterms:modified>
</cp:coreProperties>
</file>